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6C7" w:rsidRDefault="00C256C7" w:rsidP="00C256C7">
      <w:pPr>
        <w:spacing w:after="0" w:line="240" w:lineRule="auto"/>
        <w:outlineLvl w:val="0"/>
        <w:rPr>
          <w:rFonts w:ascii="Arial" w:eastAsia="Times New Roman" w:hAnsi="Arial" w:cs="Arial"/>
          <w:b/>
          <w:bCs/>
          <w:color w:val="02357C"/>
          <w:kern w:val="36"/>
          <w:sz w:val="41"/>
          <w:szCs w:val="41"/>
          <w:lang w:eastAsia="it-IT"/>
        </w:rPr>
      </w:pPr>
      <w:r w:rsidRPr="00C256C7">
        <w:rPr>
          <w:rFonts w:ascii="Arial" w:eastAsia="Times New Roman" w:hAnsi="Arial" w:cs="Arial"/>
          <w:b/>
          <w:bCs/>
          <w:color w:val="02357C"/>
          <w:kern w:val="36"/>
          <w:sz w:val="41"/>
          <w:szCs w:val="41"/>
          <w:lang w:eastAsia="it-IT"/>
        </w:rPr>
        <w:t>IL CUMULO PREVIDENZIALE</w:t>
      </w:r>
    </w:p>
    <w:p w:rsidR="00C256C7" w:rsidRPr="00C256C7" w:rsidRDefault="00C256C7" w:rsidP="00C256C7">
      <w:pPr>
        <w:spacing w:after="0" w:line="240" w:lineRule="auto"/>
        <w:outlineLvl w:val="0"/>
        <w:rPr>
          <w:rFonts w:ascii="Arial" w:eastAsia="Times New Roman" w:hAnsi="Arial" w:cs="Arial"/>
          <w:b/>
          <w:bCs/>
          <w:color w:val="02357C"/>
          <w:kern w:val="36"/>
          <w:sz w:val="41"/>
          <w:szCs w:val="41"/>
          <w:lang w:eastAsia="it-IT"/>
        </w:rPr>
      </w:pPr>
      <w:r w:rsidRPr="00C256C7">
        <w:rPr>
          <w:rFonts w:ascii="Arial" w:eastAsia="Times New Roman" w:hAnsi="Arial" w:cs="Arial"/>
          <w:b/>
          <w:bCs/>
          <w:color w:val="333333"/>
          <w:sz w:val="26"/>
          <w:lang w:eastAsia="it-IT"/>
        </w:rPr>
        <w:t xml:space="preserve">a cura di Marco </w:t>
      </w:r>
      <w:proofErr w:type="spellStart"/>
      <w:r w:rsidRPr="00C256C7">
        <w:rPr>
          <w:rFonts w:ascii="Arial" w:eastAsia="Times New Roman" w:hAnsi="Arial" w:cs="Arial"/>
          <w:b/>
          <w:bCs/>
          <w:color w:val="333333"/>
          <w:sz w:val="26"/>
          <w:lang w:eastAsia="it-IT"/>
        </w:rPr>
        <w:t>Perelli</w:t>
      </w:r>
      <w:proofErr w:type="spellEnd"/>
      <w:r w:rsidRPr="00C256C7">
        <w:rPr>
          <w:rFonts w:ascii="Arial" w:eastAsia="Times New Roman" w:hAnsi="Arial" w:cs="Arial"/>
          <w:b/>
          <w:bCs/>
          <w:color w:val="333333"/>
          <w:sz w:val="26"/>
          <w:lang w:eastAsia="it-IT"/>
        </w:rPr>
        <w:t xml:space="preserve"> Ercolini</w:t>
      </w:r>
    </w:p>
    <w:p w:rsidR="00C256C7" w:rsidRDefault="00C256C7" w:rsidP="00C256C7">
      <w:pPr>
        <w:spacing w:after="0" w:line="240" w:lineRule="auto"/>
        <w:rPr>
          <w:rFonts w:ascii="Arial" w:eastAsia="Times New Roman" w:hAnsi="Arial" w:cs="Arial"/>
          <w:color w:val="333333"/>
          <w:sz w:val="26"/>
          <w:szCs w:val="26"/>
          <w:lang w:eastAsia="it-IT"/>
        </w:rPr>
      </w:pPr>
    </w:p>
    <w:p w:rsidR="00C256C7" w:rsidRDefault="00C256C7" w:rsidP="00C256C7">
      <w:pPr>
        <w:spacing w:after="0" w:line="240" w:lineRule="auto"/>
        <w:jc w:val="both"/>
        <w:rPr>
          <w:rFonts w:ascii="Arial" w:eastAsia="Times New Roman" w:hAnsi="Arial" w:cs="Arial"/>
          <w:color w:val="333333"/>
          <w:sz w:val="26"/>
          <w:szCs w:val="26"/>
          <w:lang w:eastAsia="it-IT"/>
        </w:rPr>
      </w:pPr>
      <w:r w:rsidRPr="00C256C7">
        <w:rPr>
          <w:rFonts w:ascii="Arial" w:eastAsia="Times New Roman" w:hAnsi="Arial" w:cs="Arial"/>
          <w:color w:val="333333"/>
          <w:sz w:val="26"/>
          <w:szCs w:val="26"/>
          <w:lang w:eastAsia="it-IT"/>
        </w:rPr>
        <w:t>La possibilità del cumulo previdenziale mette fine alla «rapina» dei contributi previdenziali singolarmente inefficaci per maturare un diritto a pensione, permettendo ora di utilizzare i così detti contributi silenti e non perdere dei contributi pagati.</w:t>
      </w:r>
    </w:p>
    <w:p w:rsidR="00C256C7" w:rsidRPr="00C256C7" w:rsidRDefault="00C256C7" w:rsidP="00C256C7">
      <w:pPr>
        <w:spacing w:after="0" w:line="240" w:lineRule="auto"/>
        <w:jc w:val="both"/>
        <w:rPr>
          <w:rFonts w:ascii="Arial" w:eastAsia="Times New Roman" w:hAnsi="Arial" w:cs="Arial"/>
          <w:color w:val="333333"/>
          <w:sz w:val="16"/>
          <w:szCs w:val="16"/>
          <w:lang w:eastAsia="it-IT"/>
        </w:rPr>
      </w:pPr>
    </w:p>
    <w:p w:rsidR="00C256C7" w:rsidRPr="00C256C7" w:rsidRDefault="00C256C7" w:rsidP="00C256C7">
      <w:pPr>
        <w:spacing w:after="0" w:line="240" w:lineRule="auto"/>
        <w:jc w:val="both"/>
        <w:rPr>
          <w:rFonts w:ascii="Arial" w:eastAsia="Times New Roman" w:hAnsi="Arial" w:cs="Arial"/>
          <w:color w:val="333333"/>
          <w:sz w:val="26"/>
          <w:szCs w:val="26"/>
          <w:lang w:eastAsia="it-IT"/>
        </w:rPr>
      </w:pPr>
      <w:r w:rsidRPr="00C256C7">
        <w:rPr>
          <w:rFonts w:ascii="Arial" w:eastAsia="Times New Roman" w:hAnsi="Arial" w:cs="Arial"/>
          <w:color w:val="333333"/>
          <w:sz w:val="26"/>
          <w:szCs w:val="26"/>
          <w:lang w:eastAsia="it-IT"/>
        </w:rPr>
        <w:t>Già la legge 228/2012 aveva reso operativo dal 2013 il cumulo contributivo, ma con limitazioni. Ora ne potranno fruire tutti i lavoratori, dipendenti e autonomi, compresi quelli iscritti alla Gestione Separata e i liberi professionisti iscritti alle casse privatizzate. Ma soprattutto importante è la gratuità non prevista con le leggi della ricongiunzione e non più attendere l’apertura delle finestre (19 - 22 mesi) con la totalizzazione. Inoltre apre le porte anche alla pensione anticipata.  Tutti  gli spezzoni anche quelli utili per il diritto a una pensione  potranno essere cumulati per un unico trattamento di pensione.</w:t>
      </w:r>
    </w:p>
    <w:p w:rsidR="00C256C7" w:rsidRPr="00C256C7" w:rsidRDefault="00C256C7" w:rsidP="00C256C7">
      <w:pPr>
        <w:spacing w:after="0" w:line="240" w:lineRule="auto"/>
        <w:jc w:val="both"/>
        <w:rPr>
          <w:rFonts w:ascii="Arial" w:eastAsia="Times New Roman" w:hAnsi="Arial" w:cs="Arial"/>
          <w:color w:val="333333"/>
          <w:sz w:val="16"/>
          <w:szCs w:val="16"/>
          <w:lang w:eastAsia="it-IT"/>
        </w:rPr>
      </w:pPr>
    </w:p>
    <w:p w:rsidR="00C256C7" w:rsidRPr="00C256C7" w:rsidRDefault="00C256C7" w:rsidP="00C256C7">
      <w:pPr>
        <w:spacing w:after="0" w:line="240" w:lineRule="auto"/>
        <w:jc w:val="both"/>
        <w:rPr>
          <w:rFonts w:ascii="Arial" w:eastAsia="Times New Roman" w:hAnsi="Arial" w:cs="Arial"/>
          <w:color w:val="333333"/>
          <w:sz w:val="26"/>
          <w:szCs w:val="26"/>
          <w:lang w:eastAsia="it-IT"/>
        </w:rPr>
      </w:pPr>
      <w:r w:rsidRPr="00C256C7">
        <w:rPr>
          <w:rFonts w:ascii="Arial" w:eastAsia="Times New Roman" w:hAnsi="Arial" w:cs="Arial"/>
          <w:color w:val="333333"/>
          <w:sz w:val="26"/>
          <w:szCs w:val="26"/>
          <w:lang w:eastAsia="it-IT"/>
        </w:rPr>
        <w:t>Gli spezzoni saranno utili, dunque, sia per maturare il diritto a pensione (compresa quella anticipata),  ma anche  faranno aumentare gli importi della pensione.</w:t>
      </w:r>
    </w:p>
    <w:p w:rsidR="00C256C7" w:rsidRPr="00C256C7" w:rsidRDefault="00C256C7" w:rsidP="00C256C7">
      <w:pPr>
        <w:spacing w:after="0" w:line="240" w:lineRule="auto"/>
        <w:jc w:val="both"/>
        <w:rPr>
          <w:rFonts w:ascii="Arial" w:eastAsia="Times New Roman" w:hAnsi="Arial" w:cs="Arial"/>
          <w:color w:val="333333"/>
          <w:sz w:val="16"/>
          <w:szCs w:val="16"/>
          <w:lang w:eastAsia="it-IT"/>
        </w:rPr>
      </w:pPr>
    </w:p>
    <w:p w:rsidR="00C256C7" w:rsidRPr="00C256C7" w:rsidRDefault="00C256C7" w:rsidP="00C256C7">
      <w:pPr>
        <w:spacing w:after="0" w:line="240" w:lineRule="auto"/>
        <w:jc w:val="both"/>
        <w:rPr>
          <w:rFonts w:ascii="Arial" w:eastAsia="Times New Roman" w:hAnsi="Arial" w:cs="Arial"/>
          <w:color w:val="333333"/>
          <w:sz w:val="26"/>
          <w:szCs w:val="26"/>
          <w:lang w:eastAsia="it-IT"/>
        </w:rPr>
      </w:pPr>
      <w:r w:rsidRPr="00C256C7">
        <w:rPr>
          <w:rFonts w:ascii="Arial" w:eastAsia="Times New Roman" w:hAnsi="Arial" w:cs="Arial"/>
          <w:color w:val="333333"/>
          <w:sz w:val="26"/>
          <w:szCs w:val="26"/>
          <w:lang w:eastAsia="it-IT"/>
        </w:rPr>
        <w:t>Da sottolineare che eventuali domande di ricongiunzione o totalizzazione in atto e non ancora perfezionate possono essere revocate e tramutate in richiesta di cumulo. In caso di recesso entro il termine del 31 dicembre 2017 per una ricongiunzione non ancora perfezionata (cioè non siano state pagate tutte le rate di ricongiunzione oppure non sia già stata ottenuta la liquidazione della pensione) con richiesta di rimborso delle somme versate la restituzione sarà effettuata a decorrere del 12esimo mese dalla domanda in 4 rate annuali senza interessi.</w:t>
      </w:r>
    </w:p>
    <w:p w:rsidR="00C256C7" w:rsidRPr="00C256C7" w:rsidRDefault="00C256C7" w:rsidP="00C256C7">
      <w:pPr>
        <w:spacing w:after="0" w:line="240" w:lineRule="auto"/>
        <w:rPr>
          <w:rFonts w:ascii="Arial" w:eastAsia="Times New Roman" w:hAnsi="Arial" w:cs="Arial"/>
          <w:color w:val="333333"/>
          <w:sz w:val="26"/>
          <w:szCs w:val="26"/>
          <w:lang w:eastAsia="it-IT"/>
        </w:rPr>
      </w:pPr>
      <w:r w:rsidRPr="00C256C7">
        <w:rPr>
          <w:rFonts w:ascii="Arial" w:eastAsia="Times New Roman" w:hAnsi="Arial" w:cs="Arial"/>
          <w:color w:val="333333"/>
          <w:sz w:val="26"/>
          <w:szCs w:val="26"/>
          <w:lang w:eastAsia="it-IT"/>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8"/>
        <w:gridCol w:w="3177"/>
        <w:gridCol w:w="3279"/>
      </w:tblGrid>
      <w:tr w:rsidR="00C256C7" w:rsidRPr="00C256C7" w:rsidTr="00C256C7">
        <w:tc>
          <w:tcPr>
            <w:tcW w:w="1219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C256C7" w:rsidRPr="00C256C7" w:rsidRDefault="00C256C7" w:rsidP="00C256C7">
            <w:pPr>
              <w:spacing w:after="0" w:line="240" w:lineRule="auto"/>
              <w:rPr>
                <w:rFonts w:ascii="Arial" w:eastAsia="Times New Roman" w:hAnsi="Arial" w:cs="Arial"/>
                <w:color w:val="333333"/>
                <w:sz w:val="26"/>
                <w:szCs w:val="26"/>
                <w:lang w:eastAsia="it-IT"/>
              </w:rPr>
            </w:pPr>
            <w:r w:rsidRPr="00C256C7">
              <w:rPr>
                <w:rFonts w:ascii="Arial" w:eastAsia="Times New Roman" w:hAnsi="Arial" w:cs="Arial"/>
                <w:color w:val="333333"/>
                <w:sz w:val="26"/>
                <w:szCs w:val="26"/>
                <w:lang w:eastAsia="it-IT"/>
              </w:rPr>
              <w:t> </w:t>
            </w:r>
          </w:p>
          <w:p w:rsidR="00C256C7" w:rsidRPr="00C256C7" w:rsidRDefault="00C256C7" w:rsidP="00C256C7">
            <w:pPr>
              <w:spacing w:after="0" w:line="240" w:lineRule="auto"/>
              <w:jc w:val="center"/>
              <w:rPr>
                <w:rFonts w:ascii="Arial" w:eastAsia="Times New Roman" w:hAnsi="Arial" w:cs="Arial"/>
                <w:color w:val="333333"/>
                <w:sz w:val="26"/>
                <w:szCs w:val="26"/>
                <w:lang w:eastAsia="it-IT"/>
              </w:rPr>
            </w:pPr>
            <w:r w:rsidRPr="00C256C7">
              <w:rPr>
                <w:rFonts w:ascii="Arial" w:eastAsia="Times New Roman" w:hAnsi="Arial" w:cs="Arial"/>
                <w:b/>
                <w:bCs/>
                <w:color w:val="333333"/>
                <w:sz w:val="26"/>
                <w:lang w:eastAsia="it-IT"/>
              </w:rPr>
              <w:t>ALCUNE  PUNTUALIZZAZIONI e CONFRONTI</w:t>
            </w:r>
          </w:p>
          <w:p w:rsidR="00C256C7" w:rsidRPr="00C256C7" w:rsidRDefault="00C256C7" w:rsidP="00C256C7">
            <w:pPr>
              <w:spacing w:after="0" w:line="240" w:lineRule="auto"/>
              <w:jc w:val="center"/>
              <w:rPr>
                <w:rFonts w:ascii="Arial" w:eastAsia="Times New Roman" w:hAnsi="Arial" w:cs="Arial"/>
                <w:color w:val="333333"/>
                <w:sz w:val="26"/>
                <w:szCs w:val="26"/>
                <w:lang w:eastAsia="it-IT"/>
              </w:rPr>
            </w:pPr>
            <w:r w:rsidRPr="00C256C7">
              <w:rPr>
                <w:rFonts w:ascii="Arial" w:eastAsia="Times New Roman" w:hAnsi="Arial" w:cs="Arial"/>
                <w:color w:val="333333"/>
                <w:sz w:val="26"/>
                <w:szCs w:val="26"/>
                <w:lang w:eastAsia="it-IT"/>
              </w:rPr>
              <w:t> </w:t>
            </w:r>
          </w:p>
        </w:tc>
      </w:tr>
      <w:tr w:rsidR="00C256C7" w:rsidRPr="00C256C7" w:rsidTr="00C256C7">
        <w:tc>
          <w:tcPr>
            <w:tcW w:w="40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6C7" w:rsidRPr="00C256C7" w:rsidRDefault="00C256C7" w:rsidP="00C256C7">
            <w:pPr>
              <w:spacing w:after="0" w:line="240" w:lineRule="auto"/>
              <w:rPr>
                <w:rFonts w:ascii="Arial" w:eastAsia="Times New Roman" w:hAnsi="Arial" w:cs="Arial"/>
                <w:color w:val="333333"/>
                <w:sz w:val="26"/>
                <w:szCs w:val="26"/>
                <w:lang w:eastAsia="it-IT"/>
              </w:rPr>
            </w:pPr>
            <w:r w:rsidRPr="00C256C7">
              <w:rPr>
                <w:rFonts w:ascii="Arial" w:eastAsia="Times New Roman" w:hAnsi="Arial" w:cs="Arial"/>
                <w:color w:val="333333"/>
                <w:sz w:val="26"/>
                <w:szCs w:val="26"/>
                <w:lang w:eastAsia="it-IT"/>
              </w:rPr>
              <w:t> </w:t>
            </w:r>
          </w:p>
          <w:p w:rsidR="00C256C7" w:rsidRPr="00C256C7" w:rsidRDefault="00C256C7" w:rsidP="00C256C7">
            <w:pPr>
              <w:spacing w:after="187" w:line="240" w:lineRule="auto"/>
              <w:jc w:val="center"/>
              <w:rPr>
                <w:rFonts w:ascii="Arial" w:eastAsia="Times New Roman" w:hAnsi="Arial" w:cs="Arial"/>
                <w:color w:val="333333"/>
                <w:sz w:val="26"/>
                <w:szCs w:val="26"/>
                <w:lang w:eastAsia="it-IT"/>
              </w:rPr>
            </w:pPr>
            <w:r w:rsidRPr="00C256C7">
              <w:rPr>
                <w:rFonts w:ascii="Arial" w:eastAsia="Times New Roman" w:hAnsi="Arial" w:cs="Arial"/>
                <w:b/>
                <w:bCs/>
                <w:color w:val="333333"/>
                <w:sz w:val="26"/>
                <w:lang w:eastAsia="it-IT"/>
              </w:rPr>
              <w:t>RICONGIUNZIONE</w:t>
            </w:r>
          </w:p>
          <w:p w:rsidR="00C256C7" w:rsidRPr="00C256C7" w:rsidRDefault="00C256C7" w:rsidP="00C256C7">
            <w:pPr>
              <w:spacing w:after="187" w:line="240" w:lineRule="auto"/>
              <w:rPr>
                <w:rFonts w:ascii="Arial" w:eastAsia="Times New Roman" w:hAnsi="Arial" w:cs="Arial"/>
                <w:color w:val="333333"/>
                <w:sz w:val="26"/>
                <w:szCs w:val="26"/>
                <w:lang w:eastAsia="it-IT"/>
              </w:rPr>
            </w:pPr>
            <w:r w:rsidRPr="00C256C7">
              <w:rPr>
                <w:rFonts w:ascii="Arial" w:eastAsia="Times New Roman" w:hAnsi="Arial" w:cs="Arial"/>
                <w:color w:val="333333"/>
                <w:sz w:val="26"/>
                <w:szCs w:val="26"/>
                <w:lang w:eastAsia="it-IT"/>
              </w:rPr>
              <w:t> </w:t>
            </w:r>
          </w:p>
        </w:tc>
        <w:tc>
          <w:tcPr>
            <w:tcW w:w="40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6C7" w:rsidRPr="00C256C7" w:rsidRDefault="00C256C7" w:rsidP="00C256C7">
            <w:pPr>
              <w:spacing w:after="187" w:line="240" w:lineRule="auto"/>
              <w:rPr>
                <w:rFonts w:ascii="Arial" w:eastAsia="Times New Roman" w:hAnsi="Arial" w:cs="Arial"/>
                <w:color w:val="333333"/>
                <w:sz w:val="26"/>
                <w:szCs w:val="26"/>
                <w:lang w:eastAsia="it-IT"/>
              </w:rPr>
            </w:pPr>
            <w:r w:rsidRPr="00C256C7">
              <w:rPr>
                <w:rFonts w:ascii="Arial" w:eastAsia="Times New Roman" w:hAnsi="Arial" w:cs="Arial"/>
                <w:color w:val="333333"/>
                <w:sz w:val="26"/>
                <w:szCs w:val="26"/>
                <w:lang w:eastAsia="it-IT"/>
              </w:rPr>
              <w:t> </w:t>
            </w:r>
          </w:p>
          <w:p w:rsidR="00C256C7" w:rsidRPr="00C256C7" w:rsidRDefault="00C256C7" w:rsidP="00C256C7">
            <w:pPr>
              <w:spacing w:after="187" w:line="240" w:lineRule="auto"/>
              <w:jc w:val="center"/>
              <w:rPr>
                <w:rFonts w:ascii="Arial" w:eastAsia="Times New Roman" w:hAnsi="Arial" w:cs="Arial"/>
                <w:color w:val="333333"/>
                <w:sz w:val="26"/>
                <w:szCs w:val="26"/>
                <w:lang w:eastAsia="it-IT"/>
              </w:rPr>
            </w:pPr>
            <w:r w:rsidRPr="00C256C7">
              <w:rPr>
                <w:rFonts w:ascii="Arial" w:eastAsia="Times New Roman" w:hAnsi="Arial" w:cs="Arial"/>
                <w:b/>
                <w:bCs/>
                <w:color w:val="333333"/>
                <w:sz w:val="26"/>
                <w:lang w:eastAsia="it-IT"/>
              </w:rPr>
              <w:t>TOTALIZZAZIONE</w:t>
            </w:r>
          </w:p>
          <w:p w:rsidR="00C256C7" w:rsidRPr="00C256C7" w:rsidRDefault="00C256C7" w:rsidP="00C256C7">
            <w:pPr>
              <w:spacing w:after="187" w:line="240" w:lineRule="auto"/>
              <w:jc w:val="center"/>
              <w:rPr>
                <w:rFonts w:ascii="Arial" w:eastAsia="Times New Roman" w:hAnsi="Arial" w:cs="Arial"/>
                <w:color w:val="333333"/>
                <w:sz w:val="26"/>
                <w:szCs w:val="26"/>
                <w:lang w:eastAsia="it-IT"/>
              </w:rPr>
            </w:pPr>
            <w:r w:rsidRPr="00C256C7">
              <w:rPr>
                <w:rFonts w:ascii="Arial" w:eastAsia="Times New Roman" w:hAnsi="Arial" w:cs="Arial"/>
                <w:color w:val="333333"/>
                <w:sz w:val="26"/>
                <w:szCs w:val="26"/>
                <w:lang w:eastAsia="it-IT"/>
              </w:rPr>
              <w:t> </w:t>
            </w:r>
          </w:p>
        </w:tc>
        <w:tc>
          <w:tcPr>
            <w:tcW w:w="40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6C7" w:rsidRPr="00C256C7" w:rsidRDefault="00C256C7" w:rsidP="00C256C7">
            <w:pPr>
              <w:spacing w:after="187" w:line="240" w:lineRule="auto"/>
              <w:rPr>
                <w:rFonts w:ascii="Arial" w:eastAsia="Times New Roman" w:hAnsi="Arial" w:cs="Arial"/>
                <w:color w:val="333333"/>
                <w:sz w:val="26"/>
                <w:szCs w:val="26"/>
                <w:lang w:eastAsia="it-IT"/>
              </w:rPr>
            </w:pPr>
            <w:r w:rsidRPr="00C256C7">
              <w:rPr>
                <w:rFonts w:ascii="Arial" w:eastAsia="Times New Roman" w:hAnsi="Arial" w:cs="Arial"/>
                <w:color w:val="333333"/>
                <w:sz w:val="26"/>
                <w:szCs w:val="26"/>
                <w:lang w:eastAsia="it-IT"/>
              </w:rPr>
              <w:t> </w:t>
            </w:r>
          </w:p>
          <w:p w:rsidR="00C256C7" w:rsidRPr="00C256C7" w:rsidRDefault="00C256C7" w:rsidP="00C256C7">
            <w:pPr>
              <w:spacing w:after="187" w:line="240" w:lineRule="auto"/>
              <w:jc w:val="center"/>
              <w:rPr>
                <w:rFonts w:ascii="Arial" w:eastAsia="Times New Roman" w:hAnsi="Arial" w:cs="Arial"/>
                <w:color w:val="333333"/>
                <w:sz w:val="26"/>
                <w:szCs w:val="26"/>
                <w:lang w:eastAsia="it-IT"/>
              </w:rPr>
            </w:pPr>
            <w:r w:rsidRPr="00C256C7">
              <w:rPr>
                <w:rFonts w:ascii="Arial" w:eastAsia="Times New Roman" w:hAnsi="Arial" w:cs="Arial"/>
                <w:b/>
                <w:bCs/>
                <w:color w:val="333333"/>
                <w:sz w:val="26"/>
                <w:lang w:eastAsia="it-IT"/>
              </w:rPr>
              <w:t>CUMULO PREVIDENZIALE (*)</w:t>
            </w:r>
          </w:p>
          <w:p w:rsidR="00C256C7" w:rsidRPr="00C256C7" w:rsidRDefault="00C256C7" w:rsidP="00C256C7">
            <w:pPr>
              <w:spacing w:after="187" w:line="240" w:lineRule="auto"/>
              <w:jc w:val="center"/>
              <w:rPr>
                <w:rFonts w:ascii="Arial" w:eastAsia="Times New Roman" w:hAnsi="Arial" w:cs="Arial"/>
                <w:color w:val="333333"/>
                <w:sz w:val="26"/>
                <w:szCs w:val="26"/>
                <w:lang w:eastAsia="it-IT"/>
              </w:rPr>
            </w:pPr>
            <w:r w:rsidRPr="00C256C7">
              <w:rPr>
                <w:rFonts w:ascii="Arial" w:eastAsia="Times New Roman" w:hAnsi="Arial" w:cs="Arial"/>
                <w:b/>
                <w:bCs/>
                <w:color w:val="333333"/>
                <w:sz w:val="26"/>
                <w:lang w:eastAsia="it-IT"/>
              </w:rPr>
              <w:t>Legge di  bilancio 2017</w:t>
            </w:r>
          </w:p>
          <w:p w:rsidR="00C256C7" w:rsidRPr="00C256C7" w:rsidRDefault="00C256C7" w:rsidP="00C256C7">
            <w:pPr>
              <w:spacing w:after="187" w:line="240" w:lineRule="auto"/>
              <w:jc w:val="center"/>
              <w:rPr>
                <w:rFonts w:ascii="Arial" w:eastAsia="Times New Roman" w:hAnsi="Arial" w:cs="Arial"/>
                <w:color w:val="333333"/>
                <w:sz w:val="26"/>
                <w:szCs w:val="26"/>
                <w:lang w:eastAsia="it-IT"/>
              </w:rPr>
            </w:pPr>
            <w:r w:rsidRPr="00C256C7">
              <w:rPr>
                <w:rFonts w:ascii="Arial" w:eastAsia="Times New Roman" w:hAnsi="Arial" w:cs="Arial"/>
                <w:color w:val="333333"/>
                <w:sz w:val="26"/>
                <w:szCs w:val="26"/>
                <w:lang w:eastAsia="it-IT"/>
              </w:rPr>
              <w:t> </w:t>
            </w:r>
          </w:p>
        </w:tc>
      </w:tr>
      <w:tr w:rsidR="00C256C7" w:rsidRPr="00C256C7" w:rsidTr="00C256C7">
        <w:tc>
          <w:tcPr>
            <w:tcW w:w="40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6C7" w:rsidRDefault="00C256C7" w:rsidP="00C256C7">
            <w:pPr>
              <w:spacing w:after="187" w:line="240" w:lineRule="auto"/>
              <w:jc w:val="center"/>
              <w:rPr>
                <w:rFonts w:ascii="Arial" w:eastAsia="Times New Roman" w:hAnsi="Arial" w:cs="Arial"/>
                <w:color w:val="333333"/>
                <w:sz w:val="26"/>
                <w:szCs w:val="26"/>
                <w:lang w:eastAsia="it-IT"/>
              </w:rPr>
            </w:pPr>
            <w:r w:rsidRPr="00C256C7">
              <w:rPr>
                <w:rFonts w:ascii="Arial" w:eastAsia="Times New Roman" w:hAnsi="Arial" w:cs="Arial"/>
                <w:color w:val="333333"/>
                <w:sz w:val="26"/>
                <w:szCs w:val="26"/>
                <w:lang w:eastAsia="it-IT"/>
              </w:rPr>
              <w:t>Tutti gli spezzoni di contributi ver-sati possono essere </w:t>
            </w:r>
            <w:r w:rsidRPr="00C256C7">
              <w:rPr>
                <w:rFonts w:ascii="Arial" w:eastAsia="Times New Roman" w:hAnsi="Arial" w:cs="Arial"/>
                <w:b/>
                <w:bCs/>
                <w:color w:val="333333"/>
                <w:sz w:val="26"/>
                <w:lang w:eastAsia="it-IT"/>
              </w:rPr>
              <w:t>ricongiunti onerosamente </w:t>
            </w:r>
            <w:r w:rsidRPr="00C256C7">
              <w:rPr>
                <w:rFonts w:ascii="Arial" w:eastAsia="Times New Roman" w:hAnsi="Arial" w:cs="Arial"/>
                <w:color w:val="333333"/>
                <w:sz w:val="26"/>
                <w:szCs w:val="26"/>
                <w:lang w:eastAsia="it-IT"/>
              </w:rPr>
              <w:t>con esclusione di quelli versati nella Gestione sepa-rata Inps.</w:t>
            </w:r>
          </w:p>
          <w:p w:rsidR="00C256C7" w:rsidRPr="00C256C7" w:rsidRDefault="00C256C7" w:rsidP="00C256C7">
            <w:pPr>
              <w:spacing w:after="187" w:line="240" w:lineRule="auto"/>
              <w:jc w:val="center"/>
              <w:rPr>
                <w:rFonts w:ascii="Arial" w:eastAsia="Times New Roman" w:hAnsi="Arial" w:cs="Arial"/>
                <w:color w:val="333333"/>
                <w:sz w:val="26"/>
                <w:szCs w:val="26"/>
                <w:lang w:eastAsia="it-IT"/>
              </w:rPr>
            </w:pPr>
          </w:p>
        </w:tc>
        <w:tc>
          <w:tcPr>
            <w:tcW w:w="40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6C7" w:rsidRPr="00C256C7" w:rsidRDefault="00C256C7" w:rsidP="00C256C7">
            <w:pPr>
              <w:spacing w:after="187" w:line="240" w:lineRule="auto"/>
              <w:jc w:val="center"/>
              <w:rPr>
                <w:rFonts w:ascii="Arial" w:eastAsia="Times New Roman" w:hAnsi="Arial" w:cs="Arial"/>
                <w:color w:val="333333"/>
                <w:sz w:val="26"/>
                <w:szCs w:val="26"/>
                <w:lang w:eastAsia="it-IT"/>
              </w:rPr>
            </w:pPr>
            <w:r w:rsidRPr="00C256C7">
              <w:rPr>
                <w:rFonts w:ascii="Arial" w:eastAsia="Times New Roman" w:hAnsi="Arial" w:cs="Arial"/>
                <w:color w:val="333333"/>
                <w:sz w:val="26"/>
                <w:szCs w:val="26"/>
                <w:lang w:eastAsia="it-IT"/>
              </w:rPr>
              <w:t>Possibilità di </w:t>
            </w:r>
            <w:r w:rsidRPr="00C256C7">
              <w:rPr>
                <w:rFonts w:ascii="Arial" w:eastAsia="Times New Roman" w:hAnsi="Arial" w:cs="Arial"/>
                <w:b/>
                <w:bCs/>
                <w:color w:val="333333"/>
                <w:sz w:val="26"/>
                <w:lang w:eastAsia="it-IT"/>
              </w:rPr>
              <w:t>sommare senza o-neri economic</w:t>
            </w:r>
            <w:r w:rsidRPr="00C256C7">
              <w:rPr>
                <w:rFonts w:ascii="Arial" w:eastAsia="Times New Roman" w:hAnsi="Arial" w:cs="Arial"/>
                <w:color w:val="333333"/>
                <w:sz w:val="26"/>
                <w:szCs w:val="26"/>
                <w:lang w:eastAsia="it-IT"/>
              </w:rPr>
              <w:t>i tutti i periodi com-presi quelli accreditati nelle Casse professionali.</w:t>
            </w:r>
          </w:p>
        </w:tc>
        <w:tc>
          <w:tcPr>
            <w:tcW w:w="40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6C7" w:rsidRPr="00C256C7" w:rsidRDefault="00C256C7" w:rsidP="00C256C7">
            <w:pPr>
              <w:spacing w:after="187" w:line="240" w:lineRule="auto"/>
              <w:jc w:val="center"/>
              <w:rPr>
                <w:rFonts w:ascii="Arial" w:eastAsia="Times New Roman" w:hAnsi="Arial" w:cs="Arial"/>
                <w:color w:val="333333"/>
                <w:sz w:val="26"/>
                <w:szCs w:val="26"/>
                <w:lang w:eastAsia="it-IT"/>
              </w:rPr>
            </w:pPr>
            <w:r w:rsidRPr="00C256C7">
              <w:rPr>
                <w:rFonts w:ascii="Arial" w:eastAsia="Times New Roman" w:hAnsi="Arial" w:cs="Arial"/>
                <w:color w:val="333333"/>
                <w:sz w:val="26"/>
                <w:szCs w:val="26"/>
                <w:lang w:eastAsia="it-IT"/>
              </w:rPr>
              <w:t>Il cumulo dei contributi è </w:t>
            </w:r>
            <w:r w:rsidRPr="00C256C7">
              <w:rPr>
                <w:rFonts w:ascii="Arial" w:eastAsia="Times New Roman" w:hAnsi="Arial" w:cs="Arial"/>
                <w:b/>
                <w:bCs/>
                <w:color w:val="333333"/>
                <w:sz w:val="26"/>
                <w:lang w:eastAsia="it-IT"/>
              </w:rPr>
              <w:t>gratuito</w:t>
            </w:r>
            <w:r w:rsidRPr="00C256C7">
              <w:rPr>
                <w:rFonts w:ascii="Arial" w:eastAsia="Times New Roman" w:hAnsi="Arial" w:cs="Arial"/>
                <w:color w:val="333333"/>
                <w:sz w:val="26"/>
                <w:szCs w:val="26"/>
                <w:lang w:eastAsia="it-IT"/>
              </w:rPr>
              <w:t>, compresi quelle versati nelle cas-se professionali.</w:t>
            </w:r>
          </w:p>
          <w:p w:rsidR="00C256C7" w:rsidRPr="00C256C7" w:rsidRDefault="00C256C7" w:rsidP="00C256C7">
            <w:pPr>
              <w:spacing w:after="187" w:line="240" w:lineRule="auto"/>
              <w:jc w:val="center"/>
              <w:rPr>
                <w:rFonts w:ascii="Arial" w:eastAsia="Times New Roman" w:hAnsi="Arial" w:cs="Arial"/>
                <w:color w:val="333333"/>
                <w:sz w:val="26"/>
                <w:szCs w:val="26"/>
                <w:lang w:eastAsia="it-IT"/>
              </w:rPr>
            </w:pPr>
            <w:r w:rsidRPr="00C256C7">
              <w:rPr>
                <w:rFonts w:ascii="Arial" w:eastAsia="Times New Roman" w:hAnsi="Arial" w:cs="Arial"/>
                <w:color w:val="333333"/>
                <w:sz w:val="26"/>
                <w:szCs w:val="26"/>
                <w:lang w:eastAsia="it-IT"/>
              </w:rPr>
              <w:t>Cumulo anche degli spezzoni della Gestione separata Inps.</w:t>
            </w:r>
          </w:p>
        </w:tc>
      </w:tr>
      <w:tr w:rsidR="00C256C7" w:rsidRPr="00C256C7" w:rsidTr="00C256C7">
        <w:tc>
          <w:tcPr>
            <w:tcW w:w="40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6C7" w:rsidRPr="00C256C7" w:rsidRDefault="00C256C7" w:rsidP="00C256C7">
            <w:pPr>
              <w:spacing w:after="187" w:line="240" w:lineRule="auto"/>
              <w:jc w:val="center"/>
              <w:rPr>
                <w:rFonts w:ascii="Arial" w:eastAsia="Times New Roman" w:hAnsi="Arial" w:cs="Arial"/>
                <w:color w:val="333333"/>
                <w:sz w:val="26"/>
                <w:szCs w:val="26"/>
                <w:lang w:eastAsia="it-IT"/>
              </w:rPr>
            </w:pPr>
            <w:r w:rsidRPr="00C256C7">
              <w:rPr>
                <w:rFonts w:ascii="Arial" w:eastAsia="Times New Roman" w:hAnsi="Arial" w:cs="Arial"/>
                <w:color w:val="333333"/>
                <w:sz w:val="26"/>
                <w:szCs w:val="26"/>
                <w:lang w:eastAsia="it-IT"/>
              </w:rPr>
              <w:lastRenderedPageBreak/>
              <w:t>Possibilità di una unica pensione.</w:t>
            </w:r>
          </w:p>
        </w:tc>
        <w:tc>
          <w:tcPr>
            <w:tcW w:w="40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6C7" w:rsidRPr="00C256C7" w:rsidRDefault="00C256C7" w:rsidP="00C256C7">
            <w:pPr>
              <w:spacing w:after="187" w:line="240" w:lineRule="auto"/>
              <w:jc w:val="center"/>
              <w:rPr>
                <w:rFonts w:ascii="Arial" w:eastAsia="Times New Roman" w:hAnsi="Arial" w:cs="Arial"/>
                <w:color w:val="333333"/>
                <w:sz w:val="26"/>
                <w:szCs w:val="26"/>
                <w:lang w:eastAsia="it-IT"/>
              </w:rPr>
            </w:pPr>
            <w:r w:rsidRPr="00C256C7">
              <w:rPr>
                <w:rFonts w:ascii="Arial" w:eastAsia="Times New Roman" w:hAnsi="Arial" w:cs="Arial"/>
                <w:color w:val="333333"/>
                <w:sz w:val="26"/>
                <w:szCs w:val="26"/>
                <w:lang w:eastAsia="it-IT"/>
              </w:rPr>
              <w:t>Possibile la pensione di vec-chiaia, inabilità e indiretta  in pro quota dalle singole gestioni (no alla anticipata nelle casse priva-tizzate).</w:t>
            </w:r>
          </w:p>
        </w:tc>
        <w:tc>
          <w:tcPr>
            <w:tcW w:w="40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6C7" w:rsidRPr="00C256C7" w:rsidRDefault="00C256C7" w:rsidP="00C256C7">
            <w:pPr>
              <w:spacing w:after="187" w:line="240" w:lineRule="auto"/>
              <w:jc w:val="center"/>
              <w:rPr>
                <w:rFonts w:ascii="Arial" w:eastAsia="Times New Roman" w:hAnsi="Arial" w:cs="Arial"/>
                <w:color w:val="333333"/>
                <w:sz w:val="26"/>
                <w:szCs w:val="26"/>
                <w:lang w:eastAsia="it-IT"/>
              </w:rPr>
            </w:pPr>
            <w:r w:rsidRPr="00C256C7">
              <w:rPr>
                <w:rFonts w:ascii="Arial" w:eastAsia="Times New Roman" w:hAnsi="Arial" w:cs="Arial"/>
                <w:color w:val="333333"/>
                <w:sz w:val="26"/>
                <w:szCs w:val="26"/>
                <w:lang w:eastAsia="it-IT"/>
              </w:rPr>
              <w:t>Unica pensione di vecchiaia, ina-bilità o superstiti e dal 2017 anche anticipata.</w:t>
            </w:r>
          </w:p>
        </w:tc>
      </w:tr>
      <w:tr w:rsidR="00C256C7" w:rsidRPr="00C256C7" w:rsidTr="00C256C7">
        <w:tc>
          <w:tcPr>
            <w:tcW w:w="40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6C7" w:rsidRPr="00C256C7" w:rsidRDefault="00C256C7" w:rsidP="00C256C7">
            <w:pPr>
              <w:spacing w:after="187" w:line="240" w:lineRule="auto"/>
              <w:jc w:val="center"/>
              <w:rPr>
                <w:rFonts w:ascii="Arial" w:eastAsia="Times New Roman" w:hAnsi="Arial" w:cs="Arial"/>
                <w:color w:val="333333"/>
                <w:sz w:val="26"/>
                <w:szCs w:val="26"/>
                <w:lang w:eastAsia="it-IT"/>
              </w:rPr>
            </w:pPr>
            <w:r w:rsidRPr="00C256C7">
              <w:rPr>
                <w:rFonts w:ascii="Arial" w:eastAsia="Times New Roman" w:hAnsi="Arial" w:cs="Arial"/>
                <w:color w:val="333333"/>
                <w:sz w:val="26"/>
                <w:szCs w:val="26"/>
                <w:lang w:eastAsia="it-IT"/>
              </w:rPr>
              <w:t>Calcolo del trattamento con le re-gole del Fondo presso il quale si ricongiunge.</w:t>
            </w:r>
          </w:p>
        </w:tc>
        <w:tc>
          <w:tcPr>
            <w:tcW w:w="40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6C7" w:rsidRPr="00C256C7" w:rsidRDefault="00C256C7" w:rsidP="00C256C7">
            <w:pPr>
              <w:spacing w:after="187" w:line="240" w:lineRule="auto"/>
              <w:jc w:val="center"/>
              <w:rPr>
                <w:rFonts w:ascii="Arial" w:eastAsia="Times New Roman" w:hAnsi="Arial" w:cs="Arial"/>
                <w:color w:val="333333"/>
                <w:sz w:val="26"/>
                <w:szCs w:val="26"/>
                <w:lang w:eastAsia="it-IT"/>
              </w:rPr>
            </w:pPr>
            <w:r w:rsidRPr="00C256C7">
              <w:rPr>
                <w:rFonts w:ascii="Arial" w:eastAsia="Times New Roman" w:hAnsi="Arial" w:cs="Arial"/>
                <w:color w:val="333333"/>
                <w:sz w:val="26"/>
                <w:szCs w:val="26"/>
                <w:lang w:eastAsia="it-IT"/>
              </w:rPr>
              <w:t>Calcolo della pensione solo con criterio contributivo.</w:t>
            </w:r>
          </w:p>
        </w:tc>
        <w:tc>
          <w:tcPr>
            <w:tcW w:w="40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6C7" w:rsidRPr="00C256C7" w:rsidRDefault="00C256C7" w:rsidP="00C256C7">
            <w:pPr>
              <w:spacing w:after="187" w:line="240" w:lineRule="auto"/>
              <w:jc w:val="center"/>
              <w:rPr>
                <w:rFonts w:ascii="Arial" w:eastAsia="Times New Roman" w:hAnsi="Arial" w:cs="Arial"/>
                <w:color w:val="333333"/>
                <w:sz w:val="26"/>
                <w:szCs w:val="26"/>
                <w:lang w:eastAsia="it-IT"/>
              </w:rPr>
            </w:pPr>
            <w:r w:rsidRPr="00C256C7">
              <w:rPr>
                <w:rFonts w:ascii="Arial" w:eastAsia="Times New Roman" w:hAnsi="Arial" w:cs="Arial"/>
                <w:color w:val="333333"/>
                <w:sz w:val="26"/>
                <w:szCs w:val="26"/>
                <w:lang w:eastAsia="it-IT"/>
              </w:rPr>
              <w:t>Calcolo del trattamento  con le regole del fondo presso cui con</w:t>
            </w:r>
          </w:p>
          <w:p w:rsidR="00C256C7" w:rsidRPr="00C256C7" w:rsidRDefault="00C256C7" w:rsidP="00C256C7">
            <w:pPr>
              <w:spacing w:after="187" w:line="240" w:lineRule="auto"/>
              <w:jc w:val="center"/>
              <w:rPr>
                <w:rFonts w:ascii="Arial" w:eastAsia="Times New Roman" w:hAnsi="Arial" w:cs="Arial"/>
                <w:color w:val="333333"/>
                <w:sz w:val="26"/>
                <w:szCs w:val="26"/>
                <w:lang w:eastAsia="it-IT"/>
              </w:rPr>
            </w:pPr>
            <w:r w:rsidRPr="00C256C7">
              <w:rPr>
                <w:rFonts w:ascii="Arial" w:eastAsia="Times New Roman" w:hAnsi="Arial" w:cs="Arial"/>
                <w:color w:val="333333"/>
                <w:sz w:val="26"/>
                <w:szCs w:val="26"/>
                <w:lang w:eastAsia="it-IT"/>
              </w:rPr>
              <w:t>fluiscono i vari spezzoni.</w:t>
            </w:r>
          </w:p>
        </w:tc>
      </w:tr>
    </w:tbl>
    <w:p w:rsidR="00C256C7" w:rsidRPr="00C256C7" w:rsidRDefault="00C256C7" w:rsidP="00C256C7">
      <w:pPr>
        <w:spacing w:after="187" w:line="240" w:lineRule="auto"/>
        <w:jc w:val="center"/>
        <w:rPr>
          <w:rFonts w:ascii="Arial" w:eastAsia="Times New Roman" w:hAnsi="Arial" w:cs="Arial"/>
          <w:color w:val="333333"/>
          <w:sz w:val="26"/>
          <w:szCs w:val="26"/>
          <w:lang w:eastAsia="it-IT"/>
        </w:rPr>
      </w:pPr>
      <w:r w:rsidRPr="00C256C7">
        <w:rPr>
          <w:rFonts w:ascii="Arial" w:eastAsia="Times New Roman" w:hAnsi="Arial" w:cs="Arial"/>
          <w:color w:val="333333"/>
          <w:sz w:val="26"/>
          <w:szCs w:val="26"/>
          <w:lang w:eastAsia="it-IT"/>
        </w:rPr>
        <w:t> </w:t>
      </w:r>
    </w:p>
    <w:p w:rsidR="00C256C7" w:rsidRPr="00C256C7" w:rsidRDefault="00C256C7" w:rsidP="00C256C7">
      <w:pPr>
        <w:spacing w:after="187" w:line="240" w:lineRule="auto"/>
        <w:rPr>
          <w:rFonts w:ascii="Arial" w:eastAsia="Times New Roman" w:hAnsi="Arial" w:cs="Arial"/>
          <w:color w:val="333333"/>
          <w:sz w:val="26"/>
          <w:szCs w:val="26"/>
          <w:lang w:eastAsia="it-IT"/>
        </w:rPr>
      </w:pPr>
      <w:r w:rsidRPr="00C256C7">
        <w:rPr>
          <w:rFonts w:ascii="Arial" w:eastAsia="Times New Roman" w:hAnsi="Arial" w:cs="Arial"/>
          <w:color w:val="333333"/>
          <w:sz w:val="26"/>
          <w:szCs w:val="26"/>
          <w:lang w:eastAsia="it-IT"/>
        </w:rPr>
        <w:t>(*)    I dipendenti pubblici che si avvalgono della facoltà di cumulo percepiranno l’indennità di fine servizio al compimento dell’età per la pensione di vecchiaia e</w:t>
      </w:r>
      <w:r>
        <w:rPr>
          <w:rFonts w:ascii="Arial" w:eastAsia="Times New Roman" w:hAnsi="Arial" w:cs="Arial"/>
          <w:color w:val="333333"/>
          <w:sz w:val="26"/>
          <w:szCs w:val="26"/>
          <w:lang w:eastAsia="it-IT"/>
        </w:rPr>
        <w:t xml:space="preserve"> </w:t>
      </w:r>
      <w:r w:rsidRPr="00C256C7">
        <w:rPr>
          <w:rFonts w:ascii="Arial" w:eastAsia="Times New Roman" w:hAnsi="Arial" w:cs="Arial"/>
          <w:color w:val="333333"/>
          <w:sz w:val="26"/>
          <w:szCs w:val="26"/>
          <w:lang w:eastAsia="it-IT"/>
        </w:rPr>
        <w:t>saranno applicate tutte le disposizioni vigenti a tale data.</w:t>
      </w:r>
    </w:p>
    <w:p w:rsidR="00C256C7" w:rsidRPr="00C256C7" w:rsidRDefault="00C256C7" w:rsidP="00C256C7">
      <w:pPr>
        <w:spacing w:after="187" w:line="240" w:lineRule="auto"/>
        <w:rPr>
          <w:rFonts w:ascii="Arial" w:eastAsia="Times New Roman" w:hAnsi="Arial" w:cs="Arial"/>
          <w:color w:val="333333"/>
          <w:sz w:val="26"/>
          <w:szCs w:val="26"/>
          <w:lang w:eastAsia="it-IT"/>
        </w:rPr>
      </w:pPr>
      <w:r w:rsidRPr="00C256C7">
        <w:rPr>
          <w:rFonts w:ascii="Arial" w:eastAsia="Times New Roman" w:hAnsi="Arial" w:cs="Arial"/>
          <w:b/>
          <w:bCs/>
          <w:color w:val="333333"/>
          <w:sz w:val="26"/>
          <w:lang w:eastAsia="it-IT"/>
        </w:rPr>
        <w:t>Pubblicato il 09/02/2017</w:t>
      </w:r>
    </w:p>
    <w:p w:rsidR="0067259C" w:rsidRDefault="00C256C7"/>
    <w:sectPr w:rsidR="0067259C" w:rsidSect="00701D4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C256C7"/>
    <w:rsid w:val="00340A25"/>
    <w:rsid w:val="00701D47"/>
    <w:rsid w:val="00BB0012"/>
    <w:rsid w:val="00C256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1D47"/>
  </w:style>
  <w:style w:type="paragraph" w:styleId="Titolo1">
    <w:name w:val="heading 1"/>
    <w:basedOn w:val="Normale"/>
    <w:link w:val="Titolo1Carattere"/>
    <w:uiPriority w:val="9"/>
    <w:qFormat/>
    <w:rsid w:val="00C256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256C7"/>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C256C7"/>
    <w:rPr>
      <w:color w:val="0000FF"/>
      <w:u w:val="single"/>
    </w:rPr>
  </w:style>
  <w:style w:type="paragraph" w:styleId="NormaleWeb">
    <w:name w:val="Normal (Web)"/>
    <w:basedOn w:val="Normale"/>
    <w:uiPriority w:val="99"/>
    <w:unhideWhenUsed/>
    <w:rsid w:val="00C256C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256C7"/>
    <w:rPr>
      <w:b/>
      <w:bCs/>
    </w:rPr>
  </w:style>
</w:styles>
</file>

<file path=word/webSettings.xml><?xml version="1.0" encoding="utf-8"?>
<w:webSettings xmlns:r="http://schemas.openxmlformats.org/officeDocument/2006/relationships" xmlns:w="http://schemas.openxmlformats.org/wordprocessingml/2006/main">
  <w:divs>
    <w:div w:id="5692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2</cp:revision>
  <dcterms:created xsi:type="dcterms:W3CDTF">2017-02-09T09:43:00Z</dcterms:created>
  <dcterms:modified xsi:type="dcterms:W3CDTF">2017-02-09T09:46:00Z</dcterms:modified>
</cp:coreProperties>
</file>