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80" w:rsidRDefault="00AC7080" w:rsidP="00AC7080">
      <w:pPr>
        <w:spacing w:after="0" w:line="240" w:lineRule="auto"/>
        <w:jc w:val="both"/>
        <w:rPr>
          <w:b/>
          <w:sz w:val="24"/>
          <w:szCs w:val="24"/>
        </w:rPr>
      </w:pPr>
      <w:r w:rsidRPr="00AC7080">
        <w:rPr>
          <w:b/>
          <w:sz w:val="24"/>
          <w:szCs w:val="24"/>
        </w:rPr>
        <w:t xml:space="preserve">L'intervento di Michele </w:t>
      </w:r>
      <w:proofErr w:type="spellStart"/>
      <w:r w:rsidRPr="00AC7080">
        <w:rPr>
          <w:b/>
          <w:sz w:val="24"/>
          <w:szCs w:val="24"/>
        </w:rPr>
        <w:t>Poerio</w:t>
      </w:r>
      <w:proofErr w:type="spellEnd"/>
      <w:r w:rsidRPr="00AC7080">
        <w:rPr>
          <w:b/>
          <w:sz w:val="24"/>
          <w:szCs w:val="24"/>
        </w:rPr>
        <w:t xml:space="preserve"> e Carlo </w:t>
      </w:r>
      <w:proofErr w:type="spellStart"/>
      <w:r w:rsidRPr="00AC7080">
        <w:rPr>
          <w:b/>
          <w:sz w:val="24"/>
          <w:szCs w:val="24"/>
        </w:rPr>
        <w:t>Sizia</w:t>
      </w:r>
      <w:proofErr w:type="spellEnd"/>
    </w:p>
    <w:p w:rsidR="00AC7080" w:rsidRPr="00AC7080" w:rsidRDefault="00AC7080" w:rsidP="00AC708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606652" cy="2761612"/>
            <wp:effectExtent l="19050" t="0" r="0" b="0"/>
            <wp:docPr id="1" name="Immagine 1" descr="C:\Users\win\Desktop\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Immagi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296" cy="27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Il 22/12/2015 il Senato ha dato il via libera definitivo alla legge di stabilità 2016, n. 208/2015 (Suppl. </w:t>
      </w:r>
      <w:proofErr w:type="spellStart"/>
      <w:r w:rsidRPr="00AC7080">
        <w:rPr>
          <w:sz w:val="24"/>
          <w:szCs w:val="24"/>
        </w:rPr>
        <w:t>ord</w:t>
      </w:r>
      <w:proofErr w:type="spellEnd"/>
      <w:r w:rsidRPr="00AC7080">
        <w:rPr>
          <w:sz w:val="24"/>
          <w:szCs w:val="24"/>
        </w:rPr>
        <w:t>. n. 70 alla G.U. 302 del 30/12/2015). Delle centinaia di provvedimenti della manovra, segnaliamo i seguenti, rinviando ad altro articolo gli approfondimenti sulle pensioni, attuali e future.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Per intanto, dal 2016: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sparisce l’IMU-TASI sulla prima casa e viene dimezzata per chi concede la casa in comodato a figli o genitori (ma con tante limitazioni e complicazioni applicative);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-investire nella propria azienda diviene più conveniente attraverso i maxi-ammortamenti che consentono un bonus del 40% sui macchinari acquistati dal 15/10/2015 al 31/12/2016;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è previsto un credito d’imposta fino al 2019 sui beni strumentali per il Sud;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– sono previsti: tagli da 3,5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 xml:space="preserve"> sulle spese dei Ministeri, della Presidenza del Consiglio e attraverso un rafforzamento della centralizzazione degli acquisti della Pa;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un bonus da 500 € ai 18enni per le “spese in cultura”;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100 milioni per il ristoro (certamente parziale e “caso per caso”) delle perdite subite dai cittadini che hanno acquistato (per lo più inconsapevoli dei rischi) obbligazioni subordinate delle vecchie banche Etruria, Marche, Cari Chieti e Cari Ferrara;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opportunità di part-time agevolato per i lavoratori dipendenti del settore privato con almeno 20 anni di versamenti e che maturino i requisiti di vecchiaia entro il 2018, che potranno, negli ultimi tre anni di contratto, ridurre l’orario di lavoro tra il 40 ed il 60%, con trasferimento in busta-paga dei contributi aziendali pieni, mentre la contribuzione figurativa sarà a carico della finanza pubblica, quindi senza danno per la misura della loro futura pensione;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una decontribuzione massima di 3.250 € l’anno e per due anni per le aziende che realizzino nuove assunzioni a tempo indeterminato nel 2016 (ma nel 2015 la decontribuzione per tali assunzioni era di 8.060 € e per tre anni);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il canone Rai (100 €) sarà pagato, con voce distinta, nella bolletta elettrica della casa di propria residenza anagrafica (di proprietà o in locazione);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– il Fondo sanitario nazionale 2016 sarà di 111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 xml:space="preserve">, ma dovrà scontare i costi dei nuovi Lea (800 </w:t>
      </w:r>
      <w:proofErr w:type="spellStart"/>
      <w:r w:rsidRPr="00AC7080">
        <w:rPr>
          <w:sz w:val="24"/>
          <w:szCs w:val="24"/>
        </w:rPr>
        <w:t>mil</w:t>
      </w:r>
      <w:proofErr w:type="spellEnd"/>
      <w:r w:rsidRPr="00AC7080">
        <w:rPr>
          <w:sz w:val="24"/>
          <w:szCs w:val="24"/>
        </w:rPr>
        <w:t xml:space="preserve">.), dei farmaci innovativi (500 </w:t>
      </w:r>
      <w:proofErr w:type="spellStart"/>
      <w:r w:rsidRPr="00AC7080">
        <w:rPr>
          <w:sz w:val="24"/>
          <w:szCs w:val="24"/>
        </w:rPr>
        <w:t>mil</w:t>
      </w:r>
      <w:proofErr w:type="spellEnd"/>
      <w:r w:rsidRPr="00AC7080">
        <w:rPr>
          <w:sz w:val="24"/>
          <w:szCs w:val="24"/>
        </w:rPr>
        <w:t xml:space="preserve">.) e dei nuovi contratti del personale pubblico dipendente (bloccati da 6 anni) e per i quali le risorse specifiche previste sono ridicole (300 </w:t>
      </w:r>
      <w:proofErr w:type="spellStart"/>
      <w:r w:rsidRPr="00AC7080">
        <w:rPr>
          <w:sz w:val="24"/>
          <w:szCs w:val="24"/>
        </w:rPr>
        <w:t>mil</w:t>
      </w:r>
      <w:proofErr w:type="spellEnd"/>
      <w:r w:rsidRPr="00AC7080">
        <w:rPr>
          <w:sz w:val="24"/>
          <w:szCs w:val="24"/>
        </w:rPr>
        <w:t>.);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le Forze dell’ordine avranno il bonus degli 80 € mensili;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lastRenderedPageBreak/>
        <w:t>– gli ospedali (forse) potranno assumere fino a 6.000 nuovi addetti, con contratti precari fino al 31/10/2016 in attesa dei concorsi, anche per rispettare i riposi giornalieri e tra i turni previsti dalle normative di matrice europea;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– si potrà utilizzare il contante per </w:t>
      </w:r>
      <w:proofErr w:type="spellStart"/>
      <w:r w:rsidRPr="00AC7080">
        <w:rPr>
          <w:sz w:val="24"/>
          <w:szCs w:val="24"/>
        </w:rPr>
        <w:t>pagamenti-cash</w:t>
      </w:r>
      <w:proofErr w:type="spellEnd"/>
      <w:r w:rsidRPr="00AC7080">
        <w:rPr>
          <w:sz w:val="24"/>
          <w:szCs w:val="24"/>
        </w:rPr>
        <w:t xml:space="preserve"> fino a 2.999,99 euro (2000 € in più rispetto ai limiti precedenti);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– con lo stop (almeno nel 2016) alle norme di salvaguardia previste nella legge di stabilità precedente, saranno evitati i rincari dell’IVA e delle accise sui carburanti (valore complessivo: 16,8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>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persiste il blocco del turn-over nelle pubbliche amministrazioni (25% in via ordinaria, con qualche deroga per il personale in soprannumero delle ex Province);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– i Governatori delle Regioni avranno 1,9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 xml:space="preserve"> di euro per abbattere il debito locale;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– ANAS e Ferrovie avranno più risorse per gli investimenti, ecc., ecc..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Tutto bene, allora? Diremo proprio di no, infatti: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come non vedere, all’interno dei provvedimenti elencati, qualche intento sfacciatamente elettoralistico per allargare la propria base elettorale, costi quel che costi! Sono infatti prossime le elezioni comunali a Torino, Milano, Roma, Napoli, ecc. Dice Maurizio </w:t>
      </w:r>
      <w:proofErr w:type="spellStart"/>
      <w:r w:rsidRPr="00AC7080">
        <w:rPr>
          <w:sz w:val="24"/>
          <w:szCs w:val="24"/>
        </w:rPr>
        <w:t>Crozza</w:t>
      </w:r>
      <w:proofErr w:type="spellEnd"/>
      <w:r w:rsidRPr="00AC7080">
        <w:rPr>
          <w:sz w:val="24"/>
          <w:szCs w:val="24"/>
        </w:rPr>
        <w:t>, con lucido sarcasmo, “mancia su Roma”!;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come conseguenza, su misure complessive della manovra per 33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 xml:space="preserve"> circa, peggiora il saldo complessivo della PA per 14,6 </w:t>
      </w:r>
      <w:proofErr w:type="spellStart"/>
      <w:r w:rsidRPr="00AC7080">
        <w:rPr>
          <w:sz w:val="24"/>
          <w:szCs w:val="24"/>
        </w:rPr>
        <w:t>mld</w:t>
      </w:r>
      <w:proofErr w:type="spellEnd"/>
      <w:r w:rsidRPr="00AC7080">
        <w:rPr>
          <w:sz w:val="24"/>
          <w:szCs w:val="24"/>
        </w:rPr>
        <w:t xml:space="preserve"> (quindi manovra in deficit, salito dall’1,4 dei documenti programmatici al 2,4 % finale). Tutto ciò è in contrasto con gli impegni assunti in Europa almeno dai tre ultimi Governi: Monti, Letta e dallo stesso </w:t>
      </w:r>
      <w:proofErr w:type="spellStart"/>
      <w:r w:rsidRPr="00AC7080">
        <w:rPr>
          <w:sz w:val="24"/>
          <w:szCs w:val="24"/>
        </w:rPr>
        <w:t>Renzi</w:t>
      </w:r>
      <w:proofErr w:type="spellEnd"/>
      <w:r w:rsidRPr="00AC7080">
        <w:rPr>
          <w:sz w:val="24"/>
          <w:szCs w:val="24"/>
        </w:rPr>
        <w:t>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il rapporto debito cumulato/PIL è salito (dal 2014 al 2015) dal 132,1 al 132,8%. Secondo </w:t>
      </w:r>
      <w:proofErr w:type="spellStart"/>
      <w:r w:rsidRPr="00AC7080">
        <w:rPr>
          <w:sz w:val="24"/>
          <w:szCs w:val="24"/>
        </w:rPr>
        <w:t>Renzi</w:t>
      </w:r>
      <w:proofErr w:type="spellEnd"/>
      <w:r w:rsidRPr="00AC7080">
        <w:rPr>
          <w:sz w:val="24"/>
          <w:szCs w:val="24"/>
        </w:rPr>
        <w:t>, tale rapporto dovrebbe scendere, nel 2016, dal 132,8 al 131,4%.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Per realizzare l’obiettivo sarebbe necessario contemporaneamente che: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la previsione del </w:t>
      </w:r>
      <w:proofErr w:type="spellStart"/>
      <w:r w:rsidRPr="00AC7080">
        <w:rPr>
          <w:sz w:val="24"/>
          <w:szCs w:val="24"/>
        </w:rPr>
        <w:t>Def</w:t>
      </w:r>
      <w:proofErr w:type="spellEnd"/>
      <w:r w:rsidRPr="00AC7080">
        <w:rPr>
          <w:sz w:val="24"/>
          <w:szCs w:val="24"/>
        </w:rPr>
        <w:t xml:space="preserve"> di un incremento del 1,6% del PIL italiano, nel 2016, fosse rispettata;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che l’inflazione 2016 riprendesse, almeno moderatamente, a salire, rimanendo basso lo spread, il prezzo del petrolio ed il costo del denaro;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che le dismissioni nel triennio 2016-2018 si attestassero attorno all’ 1,5% del PIL;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che l’avanzo primario nel quinquennio 2015-2019 veleggiasse sempre attorno al 3%.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Nulla è impossibile, ma tutto ciò è largamente improbabile.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Per intanto, il nostro PIL nel 2015 è cresciuto (come ormai da 20 anni) di 0,7/0,8 punti percentuali meno della media dell’Eurozona, per l’appunto lo 0,8% rispetto all’1,6%, l’anno appena trascorso.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In definitiva, come dice lucidamente il prof. Luca </w:t>
      </w:r>
      <w:proofErr w:type="spellStart"/>
      <w:r w:rsidRPr="00AC7080">
        <w:rPr>
          <w:sz w:val="24"/>
          <w:szCs w:val="24"/>
        </w:rPr>
        <w:t>Ricolfi</w:t>
      </w:r>
      <w:proofErr w:type="spellEnd"/>
      <w:r w:rsidRPr="00AC7080">
        <w:rPr>
          <w:sz w:val="24"/>
          <w:szCs w:val="24"/>
        </w:rPr>
        <w:t xml:space="preserve"> su “Il Sole 24 Ore”, attendiamo il Governo </w:t>
      </w:r>
      <w:proofErr w:type="spellStart"/>
      <w:r w:rsidRPr="00AC7080">
        <w:rPr>
          <w:sz w:val="24"/>
          <w:szCs w:val="24"/>
        </w:rPr>
        <w:t>Renzi</w:t>
      </w:r>
      <w:proofErr w:type="spellEnd"/>
      <w:r w:rsidRPr="00AC7080">
        <w:rPr>
          <w:sz w:val="24"/>
          <w:szCs w:val="24"/>
        </w:rPr>
        <w:t>, nel 2016, alla verifica di questi 4 test: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1) l’incremento dell’occupazione a tempo indeterminato;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2) la riduzione del tasso di occupazione precaria;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3) l’incremento del PIL al pari degli indici medi dell’Eurozona;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4) la riduzione del rapporto debito/PIL.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Solo in questo modo capiremo se le chiacchiere governative e l’ostentato ottimismo del Premier avranno avuto qualche fondamento, ovvero rappresentino solo “fumo negli occhi”, in vista del primo appuntamento elettorale.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Anche la Commissione europea è diffidente rispetto agli “strappi” di </w:t>
      </w:r>
      <w:proofErr w:type="spellStart"/>
      <w:r w:rsidRPr="00AC7080">
        <w:rPr>
          <w:sz w:val="24"/>
          <w:szCs w:val="24"/>
        </w:rPr>
        <w:t>Renzi</w:t>
      </w:r>
      <w:proofErr w:type="spellEnd"/>
      <w:r w:rsidRPr="00AC7080">
        <w:rPr>
          <w:sz w:val="24"/>
          <w:szCs w:val="24"/>
        </w:rPr>
        <w:t>, infatti ha rinviato il giudizio definitivo sulla nostra ultima manovra ad aprile-maggio 2016.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>Per ora constatiamo solo che gli impegni seri (</w:t>
      </w:r>
      <w:proofErr w:type="spellStart"/>
      <w:r w:rsidRPr="00AC7080">
        <w:rPr>
          <w:sz w:val="24"/>
          <w:szCs w:val="24"/>
        </w:rPr>
        <w:t>spending</w:t>
      </w:r>
      <w:proofErr w:type="spellEnd"/>
      <w:r w:rsidRPr="00AC7080">
        <w:rPr>
          <w:sz w:val="24"/>
          <w:szCs w:val="24"/>
        </w:rPr>
        <w:t xml:space="preserve"> </w:t>
      </w:r>
      <w:proofErr w:type="spellStart"/>
      <w:r w:rsidRPr="00AC7080">
        <w:rPr>
          <w:sz w:val="24"/>
          <w:szCs w:val="24"/>
        </w:rPr>
        <w:t>review</w:t>
      </w:r>
      <w:proofErr w:type="spellEnd"/>
      <w:r w:rsidRPr="00AC7080">
        <w:rPr>
          <w:sz w:val="24"/>
          <w:szCs w:val="24"/>
        </w:rPr>
        <w:t>, lotta alla evasione ed alla corruzione, alle inefficienze della scuola, della giustizia, delle burocrazie, il contrasto all’illegalità, ecc.) sono ancora una volta “rinviati”.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E Dio non voglia che si complichi la situazione internazionale (Cina, Corea del Nord, ancora bassa crescita in Europa, crisi politico-sociale ed economica in Medio Oriente e nei Paesi in via di </w:t>
      </w:r>
      <w:r w:rsidRPr="00AC7080">
        <w:rPr>
          <w:sz w:val="24"/>
          <w:szCs w:val="24"/>
        </w:rPr>
        <w:lastRenderedPageBreak/>
        <w:t>sviluppo, ecc.) perché, per noi tutti (pensionati o no) sarebbero guai pressoché insormontabili, che smaschererebbero tutte le ottimistiche previsioni del governo. Comunque buon 2016, anno bisestile!</w:t>
      </w: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</w:p>
    <w:p w:rsidR="00AC7080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Prof.  Michele </w:t>
      </w:r>
      <w:proofErr w:type="spellStart"/>
      <w:r w:rsidRPr="00AC7080">
        <w:rPr>
          <w:sz w:val="24"/>
          <w:szCs w:val="24"/>
        </w:rPr>
        <w:t>Poerio</w:t>
      </w:r>
      <w:proofErr w:type="spellEnd"/>
      <w:r w:rsidRPr="00AC7080">
        <w:rPr>
          <w:sz w:val="24"/>
          <w:szCs w:val="24"/>
        </w:rPr>
        <w:t xml:space="preserve">, presidente nazionale </w:t>
      </w:r>
      <w:proofErr w:type="spellStart"/>
      <w:r w:rsidRPr="00AC7080">
        <w:rPr>
          <w:sz w:val="24"/>
          <w:szCs w:val="24"/>
        </w:rPr>
        <w:t>FEDER.S.P.eV.</w:t>
      </w:r>
      <w:proofErr w:type="spellEnd"/>
    </w:p>
    <w:p w:rsidR="0067259C" w:rsidRPr="00AC7080" w:rsidRDefault="00AC7080" w:rsidP="00AC7080">
      <w:pPr>
        <w:spacing w:after="0" w:line="240" w:lineRule="auto"/>
        <w:jc w:val="both"/>
        <w:rPr>
          <w:sz w:val="24"/>
          <w:szCs w:val="24"/>
        </w:rPr>
      </w:pPr>
      <w:r w:rsidRPr="00AC7080">
        <w:rPr>
          <w:sz w:val="24"/>
          <w:szCs w:val="24"/>
        </w:rPr>
        <w:t xml:space="preserve">Dott. Carlo </w:t>
      </w:r>
      <w:proofErr w:type="spellStart"/>
      <w:r w:rsidRPr="00AC7080">
        <w:rPr>
          <w:sz w:val="24"/>
          <w:szCs w:val="24"/>
        </w:rPr>
        <w:t>Sizia</w:t>
      </w:r>
      <w:proofErr w:type="spellEnd"/>
      <w:r w:rsidRPr="00AC7080">
        <w:rPr>
          <w:sz w:val="24"/>
          <w:szCs w:val="24"/>
        </w:rPr>
        <w:t xml:space="preserve">, Comitato direttivo </w:t>
      </w:r>
      <w:proofErr w:type="spellStart"/>
      <w:r w:rsidRPr="00AC7080">
        <w:rPr>
          <w:sz w:val="24"/>
          <w:szCs w:val="24"/>
        </w:rPr>
        <w:t>FEDER.S.P.eV.</w:t>
      </w:r>
      <w:proofErr w:type="spellEnd"/>
    </w:p>
    <w:sectPr w:rsidR="0067259C" w:rsidRPr="00AC7080" w:rsidSect="00A332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C7080"/>
    <w:rsid w:val="00340A25"/>
    <w:rsid w:val="00A332D5"/>
    <w:rsid w:val="00AC7080"/>
    <w:rsid w:val="00B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7519">
          <w:marLeft w:val="1130"/>
          <w:marRight w:val="113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2016-01-14T09:49:00Z</dcterms:created>
  <dcterms:modified xsi:type="dcterms:W3CDTF">2016-01-14T09:52:00Z</dcterms:modified>
</cp:coreProperties>
</file>