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C7" w:rsidRDefault="00C256C7" w:rsidP="00C256C7">
      <w:pPr>
        <w:spacing w:after="0" w:line="240" w:lineRule="auto"/>
        <w:outlineLvl w:val="0"/>
        <w:rPr>
          <w:rFonts w:ascii="Arial" w:eastAsia="Times New Roman" w:hAnsi="Arial" w:cs="Arial"/>
          <w:b/>
          <w:bCs/>
          <w:color w:val="02357C"/>
          <w:kern w:val="36"/>
          <w:sz w:val="41"/>
          <w:szCs w:val="41"/>
          <w:lang w:eastAsia="it-IT"/>
        </w:rPr>
      </w:pPr>
      <w:r w:rsidRPr="00C256C7">
        <w:rPr>
          <w:rFonts w:ascii="Arial" w:eastAsia="Times New Roman" w:hAnsi="Arial" w:cs="Arial"/>
          <w:b/>
          <w:bCs/>
          <w:color w:val="02357C"/>
          <w:kern w:val="36"/>
          <w:sz w:val="41"/>
          <w:szCs w:val="41"/>
          <w:lang w:eastAsia="it-IT"/>
        </w:rPr>
        <w:t>IL CUMULO PREVIDENZIALE</w:t>
      </w:r>
    </w:p>
    <w:p w:rsidR="00C256C7" w:rsidRPr="00C256C7" w:rsidRDefault="00C256C7" w:rsidP="00C256C7">
      <w:pPr>
        <w:spacing w:after="0" w:line="240" w:lineRule="auto"/>
        <w:outlineLvl w:val="0"/>
        <w:rPr>
          <w:rFonts w:ascii="Arial" w:eastAsia="Times New Roman" w:hAnsi="Arial" w:cs="Arial"/>
          <w:b/>
          <w:bCs/>
          <w:color w:val="02357C"/>
          <w:kern w:val="36"/>
          <w:sz w:val="41"/>
          <w:szCs w:val="41"/>
          <w:lang w:eastAsia="it-IT"/>
        </w:rPr>
      </w:pPr>
      <w:r w:rsidRPr="00C256C7">
        <w:rPr>
          <w:rFonts w:ascii="Arial" w:eastAsia="Times New Roman" w:hAnsi="Arial" w:cs="Arial"/>
          <w:b/>
          <w:bCs/>
          <w:color w:val="333333"/>
          <w:sz w:val="26"/>
          <w:lang w:eastAsia="it-IT"/>
        </w:rPr>
        <w:t xml:space="preserve">a cura di Marco </w:t>
      </w:r>
      <w:proofErr w:type="spellStart"/>
      <w:r w:rsidRPr="00C256C7">
        <w:rPr>
          <w:rFonts w:ascii="Arial" w:eastAsia="Times New Roman" w:hAnsi="Arial" w:cs="Arial"/>
          <w:b/>
          <w:bCs/>
          <w:color w:val="333333"/>
          <w:sz w:val="26"/>
          <w:lang w:eastAsia="it-IT"/>
        </w:rPr>
        <w:t>Perelli</w:t>
      </w:r>
      <w:proofErr w:type="spellEnd"/>
      <w:r w:rsidRPr="00C256C7">
        <w:rPr>
          <w:rFonts w:ascii="Arial" w:eastAsia="Times New Roman" w:hAnsi="Arial" w:cs="Arial"/>
          <w:b/>
          <w:bCs/>
          <w:color w:val="333333"/>
          <w:sz w:val="26"/>
          <w:lang w:eastAsia="it-IT"/>
        </w:rPr>
        <w:t xml:space="preserve"> Ercolini</w:t>
      </w:r>
    </w:p>
    <w:p w:rsidR="00C256C7" w:rsidRDefault="00C256C7" w:rsidP="00C256C7">
      <w:pPr>
        <w:spacing w:after="0" w:line="240" w:lineRule="auto"/>
        <w:rPr>
          <w:rFonts w:ascii="Arial" w:eastAsia="Times New Roman" w:hAnsi="Arial" w:cs="Arial"/>
          <w:color w:val="333333"/>
          <w:sz w:val="26"/>
          <w:szCs w:val="26"/>
          <w:lang w:eastAsia="it-IT"/>
        </w:rPr>
      </w:pPr>
    </w:p>
    <w:p w:rsidR="00C256C7" w:rsidRDefault="00C256C7" w:rsidP="00C256C7">
      <w:pPr>
        <w:spacing w:after="0" w:line="240" w:lineRule="auto"/>
        <w:jc w:val="both"/>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La possibilità del cumulo previdenziale mette fine alla «rapina» dei contributi previdenziali singolarmente inefficaci per maturare un diritto a pensione, permettendo ora di utilizzare i così detti contributi silenti e non perdere dei contributi pagati.</w:t>
      </w:r>
    </w:p>
    <w:p w:rsidR="00C256C7" w:rsidRPr="00C256C7" w:rsidRDefault="00C256C7" w:rsidP="00C256C7">
      <w:pPr>
        <w:spacing w:after="0" w:line="240" w:lineRule="auto"/>
        <w:jc w:val="both"/>
        <w:rPr>
          <w:rFonts w:ascii="Arial" w:eastAsia="Times New Roman" w:hAnsi="Arial" w:cs="Arial"/>
          <w:color w:val="333333"/>
          <w:sz w:val="16"/>
          <w:szCs w:val="16"/>
          <w:lang w:eastAsia="it-IT"/>
        </w:rPr>
      </w:pPr>
    </w:p>
    <w:p w:rsidR="00C256C7" w:rsidRPr="00C256C7" w:rsidRDefault="00C256C7" w:rsidP="00C256C7">
      <w:pPr>
        <w:spacing w:after="0" w:line="240" w:lineRule="auto"/>
        <w:jc w:val="both"/>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Già la legge 228/2012 aveva reso operativo dal 2013 il cumulo contributivo, ma con limitazioni. Ora ne potranno fruire tutti i lavoratori, dipendenti e autonomi, compresi quelli iscritti alla Gestione Separata e i liberi professionisti iscritti alle casse privatizzate. Ma soprattutto importante è la gratuità non prevista con le leggi della ricongiunzione e non più attendere l’apertura delle finestre (19 - 22 mesi) con la totalizzazione. Inoltre apre le porte anche alla pensione anticipata.  Tutti  gli spezzoni anche quelli utili per il diritto a una pensione  potranno essere cumulati per un unico trattamento di pensione.</w:t>
      </w:r>
    </w:p>
    <w:p w:rsidR="00C256C7" w:rsidRPr="00C256C7" w:rsidRDefault="00C256C7" w:rsidP="00C256C7">
      <w:pPr>
        <w:spacing w:after="0" w:line="240" w:lineRule="auto"/>
        <w:jc w:val="both"/>
        <w:rPr>
          <w:rFonts w:ascii="Arial" w:eastAsia="Times New Roman" w:hAnsi="Arial" w:cs="Arial"/>
          <w:color w:val="333333"/>
          <w:sz w:val="16"/>
          <w:szCs w:val="16"/>
          <w:lang w:eastAsia="it-IT"/>
        </w:rPr>
      </w:pPr>
    </w:p>
    <w:p w:rsidR="00C256C7" w:rsidRPr="00C256C7" w:rsidRDefault="00C256C7" w:rsidP="00C256C7">
      <w:pPr>
        <w:spacing w:after="0" w:line="240" w:lineRule="auto"/>
        <w:jc w:val="both"/>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Gli spezzoni saranno utili, dunque, sia per maturare il diritto a pensione (compresa quella anticipata),  ma anche  faranno aumentare gli importi della pensione.</w:t>
      </w:r>
    </w:p>
    <w:p w:rsidR="00C256C7" w:rsidRPr="00C256C7" w:rsidRDefault="00C256C7" w:rsidP="00C256C7">
      <w:pPr>
        <w:spacing w:after="0" w:line="240" w:lineRule="auto"/>
        <w:jc w:val="both"/>
        <w:rPr>
          <w:rFonts w:ascii="Arial" w:eastAsia="Times New Roman" w:hAnsi="Arial" w:cs="Arial"/>
          <w:color w:val="333333"/>
          <w:sz w:val="16"/>
          <w:szCs w:val="16"/>
          <w:lang w:eastAsia="it-IT"/>
        </w:rPr>
      </w:pPr>
    </w:p>
    <w:p w:rsidR="00C256C7" w:rsidRPr="00C256C7" w:rsidRDefault="00C256C7" w:rsidP="00C256C7">
      <w:pPr>
        <w:spacing w:after="0" w:line="240" w:lineRule="auto"/>
        <w:jc w:val="both"/>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Da sottolineare che eventuali domande di ricongiunzione o totalizzazione in atto e non ancora perfezionate possono essere revocate e tramutate in richiesta di cumulo. In caso di recesso entro il termine del 31 dicembre 2017 per una ricongiunzione non ancora perfezionata (cioè non siano state pagate tutte le rate di ricongiunzione oppure non sia già stata ottenuta la liquidazione della pensione) con richiesta di rimborso delle somme versate la restituzione sarà effettuata a decorrere del 12esimo mese dalla domanda in 4 rate annuali senza interessi.</w:t>
      </w:r>
    </w:p>
    <w:p w:rsidR="00C256C7" w:rsidRPr="00C256C7" w:rsidRDefault="00C256C7" w:rsidP="00C256C7">
      <w:pPr>
        <w:spacing w:after="0" w:line="240" w:lineRule="auto"/>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98"/>
        <w:gridCol w:w="3177"/>
        <w:gridCol w:w="3279"/>
      </w:tblGrid>
      <w:tr w:rsidR="00C256C7" w:rsidRPr="00C256C7" w:rsidTr="00C256C7">
        <w:tc>
          <w:tcPr>
            <w:tcW w:w="12193"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0" w:line="240" w:lineRule="auto"/>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p w:rsidR="00C256C7" w:rsidRPr="00C256C7" w:rsidRDefault="00C256C7" w:rsidP="00C256C7">
            <w:pPr>
              <w:spacing w:after="0" w:line="240" w:lineRule="auto"/>
              <w:jc w:val="center"/>
              <w:rPr>
                <w:rFonts w:ascii="Arial" w:eastAsia="Times New Roman" w:hAnsi="Arial" w:cs="Arial"/>
                <w:color w:val="333333"/>
                <w:sz w:val="26"/>
                <w:szCs w:val="26"/>
                <w:lang w:eastAsia="it-IT"/>
              </w:rPr>
            </w:pPr>
            <w:r w:rsidRPr="00C256C7">
              <w:rPr>
                <w:rFonts w:ascii="Arial" w:eastAsia="Times New Roman" w:hAnsi="Arial" w:cs="Arial"/>
                <w:b/>
                <w:bCs/>
                <w:color w:val="333333"/>
                <w:sz w:val="26"/>
                <w:lang w:eastAsia="it-IT"/>
              </w:rPr>
              <w:t>ALCUNE  PUNTUALIZZAZIONI e CONFRONTI</w:t>
            </w:r>
          </w:p>
          <w:p w:rsidR="00C256C7" w:rsidRPr="00C256C7" w:rsidRDefault="00C256C7" w:rsidP="00C256C7">
            <w:pPr>
              <w:spacing w:after="0"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tc>
      </w:tr>
      <w:tr w:rsidR="00C256C7" w:rsidRPr="00C256C7" w:rsidTr="00C256C7">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0" w:line="240" w:lineRule="auto"/>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b/>
                <w:bCs/>
                <w:color w:val="333333"/>
                <w:sz w:val="26"/>
                <w:lang w:eastAsia="it-IT"/>
              </w:rPr>
              <w:t>RICONGIUNZIONE</w:t>
            </w:r>
          </w:p>
          <w:p w:rsidR="00C256C7" w:rsidRPr="00C256C7" w:rsidRDefault="00C256C7" w:rsidP="00C256C7">
            <w:pPr>
              <w:spacing w:after="187" w:line="240" w:lineRule="auto"/>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b/>
                <w:bCs/>
                <w:color w:val="333333"/>
                <w:sz w:val="26"/>
                <w:lang w:eastAsia="it-IT"/>
              </w:rPr>
              <w:t>TOTALIZZAZIONE</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b/>
                <w:bCs/>
                <w:color w:val="333333"/>
                <w:sz w:val="26"/>
                <w:lang w:eastAsia="it-IT"/>
              </w:rPr>
              <w:t>CUMULO PREVIDENZIALE (*)</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b/>
                <w:bCs/>
                <w:color w:val="333333"/>
                <w:sz w:val="26"/>
                <w:lang w:eastAsia="it-IT"/>
              </w:rPr>
              <w:t>Legge di  bilancio 2017</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tc>
      </w:tr>
      <w:tr w:rsidR="00C256C7" w:rsidRPr="00C256C7" w:rsidTr="00C256C7">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Tutti gli spezzoni di contributi ver-sati possono essere </w:t>
            </w:r>
            <w:r w:rsidRPr="00C256C7">
              <w:rPr>
                <w:rFonts w:ascii="Arial" w:eastAsia="Times New Roman" w:hAnsi="Arial" w:cs="Arial"/>
                <w:b/>
                <w:bCs/>
                <w:color w:val="333333"/>
                <w:sz w:val="26"/>
                <w:lang w:eastAsia="it-IT"/>
              </w:rPr>
              <w:t>ricongiunti onerosamente </w:t>
            </w:r>
            <w:r w:rsidRPr="00C256C7">
              <w:rPr>
                <w:rFonts w:ascii="Arial" w:eastAsia="Times New Roman" w:hAnsi="Arial" w:cs="Arial"/>
                <w:color w:val="333333"/>
                <w:sz w:val="26"/>
                <w:szCs w:val="26"/>
                <w:lang w:eastAsia="it-IT"/>
              </w:rPr>
              <w:t>con esclusione di quelli versati nella Gestione sepa-rata Inps.</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Possibilità di </w:t>
            </w:r>
            <w:r w:rsidRPr="00C256C7">
              <w:rPr>
                <w:rFonts w:ascii="Arial" w:eastAsia="Times New Roman" w:hAnsi="Arial" w:cs="Arial"/>
                <w:b/>
                <w:bCs/>
                <w:color w:val="333333"/>
                <w:sz w:val="26"/>
                <w:lang w:eastAsia="it-IT"/>
              </w:rPr>
              <w:t>sommare senza o-neri economic</w:t>
            </w:r>
            <w:r w:rsidRPr="00C256C7">
              <w:rPr>
                <w:rFonts w:ascii="Arial" w:eastAsia="Times New Roman" w:hAnsi="Arial" w:cs="Arial"/>
                <w:color w:val="333333"/>
                <w:sz w:val="26"/>
                <w:szCs w:val="26"/>
                <w:lang w:eastAsia="it-IT"/>
              </w:rPr>
              <w:t>i tutti i periodi com-presi quelli accreditati nelle Casse professionali.</w:t>
            </w: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Il cumulo dei contributi è </w:t>
            </w:r>
            <w:r w:rsidRPr="00C256C7">
              <w:rPr>
                <w:rFonts w:ascii="Arial" w:eastAsia="Times New Roman" w:hAnsi="Arial" w:cs="Arial"/>
                <w:b/>
                <w:bCs/>
                <w:color w:val="333333"/>
                <w:sz w:val="26"/>
                <w:lang w:eastAsia="it-IT"/>
              </w:rPr>
              <w:t>gratuito</w:t>
            </w:r>
            <w:r w:rsidRPr="00C256C7">
              <w:rPr>
                <w:rFonts w:ascii="Arial" w:eastAsia="Times New Roman" w:hAnsi="Arial" w:cs="Arial"/>
                <w:color w:val="333333"/>
                <w:sz w:val="26"/>
                <w:szCs w:val="26"/>
                <w:lang w:eastAsia="it-IT"/>
              </w:rPr>
              <w:t>, compresi quelle versati nelle cas-se professionali.</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Cumulo anche degli spezzoni della Gestione separata Inps.</w:t>
            </w:r>
          </w:p>
        </w:tc>
      </w:tr>
      <w:tr w:rsidR="00C256C7" w:rsidRPr="00C256C7" w:rsidTr="00C256C7">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lastRenderedPageBreak/>
              <w:t>Possibilità di una unica pensione.</w:t>
            </w: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Possibile la pensione di vec-chiaia, inabilità e indiretta  in pro quota dalle singole gestioni (no alla anticipata nelle casse priva-tizzate).</w:t>
            </w: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Unica pensione di vecchiaia, ina-bilità o superstiti e dal 2017 anche anticipata.</w:t>
            </w:r>
          </w:p>
        </w:tc>
      </w:tr>
      <w:tr w:rsidR="00C256C7" w:rsidRPr="00C256C7" w:rsidTr="00C256C7">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Calcolo del trattamento con le re-gole del Fondo presso il quale si ricongiunge.</w:t>
            </w: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Calcolo della pensione solo con criterio contributivo.</w:t>
            </w:r>
          </w:p>
        </w:tc>
        <w:tc>
          <w:tcPr>
            <w:tcW w:w="405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Calcolo del trattamento  con le regole del fondo presso cui con</w:t>
            </w:r>
          </w:p>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fluiscono i vari spezzoni.</w:t>
            </w:r>
          </w:p>
        </w:tc>
      </w:tr>
    </w:tbl>
    <w:p w:rsidR="00C256C7" w:rsidRPr="00C256C7" w:rsidRDefault="00C256C7" w:rsidP="00C256C7">
      <w:pPr>
        <w:spacing w:after="187" w:line="240" w:lineRule="auto"/>
        <w:jc w:val="center"/>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w:t>
      </w:r>
    </w:p>
    <w:p w:rsidR="00C256C7" w:rsidRPr="00C256C7" w:rsidRDefault="00C256C7" w:rsidP="00C256C7">
      <w:pPr>
        <w:spacing w:after="187" w:line="240" w:lineRule="auto"/>
        <w:rPr>
          <w:rFonts w:ascii="Arial" w:eastAsia="Times New Roman" w:hAnsi="Arial" w:cs="Arial"/>
          <w:color w:val="333333"/>
          <w:sz w:val="26"/>
          <w:szCs w:val="26"/>
          <w:lang w:eastAsia="it-IT"/>
        </w:rPr>
      </w:pPr>
      <w:r w:rsidRPr="00C256C7">
        <w:rPr>
          <w:rFonts w:ascii="Arial" w:eastAsia="Times New Roman" w:hAnsi="Arial" w:cs="Arial"/>
          <w:color w:val="333333"/>
          <w:sz w:val="26"/>
          <w:szCs w:val="26"/>
          <w:lang w:eastAsia="it-IT"/>
        </w:rPr>
        <w:t>(*)    I dipendenti pubblici che si avvalgono della facoltà di cumulo percepiranno l’indennità di fine servizio al compimento dell’età per la pensione di vecchiaia e</w:t>
      </w:r>
      <w:r>
        <w:rPr>
          <w:rFonts w:ascii="Arial" w:eastAsia="Times New Roman" w:hAnsi="Arial" w:cs="Arial"/>
          <w:color w:val="333333"/>
          <w:sz w:val="26"/>
          <w:szCs w:val="26"/>
          <w:lang w:eastAsia="it-IT"/>
        </w:rPr>
        <w:t xml:space="preserve"> </w:t>
      </w:r>
      <w:r w:rsidRPr="00C256C7">
        <w:rPr>
          <w:rFonts w:ascii="Arial" w:eastAsia="Times New Roman" w:hAnsi="Arial" w:cs="Arial"/>
          <w:color w:val="333333"/>
          <w:sz w:val="26"/>
          <w:szCs w:val="26"/>
          <w:lang w:eastAsia="it-IT"/>
        </w:rPr>
        <w:t>saranno applicate tutte le disposizioni vigenti a tale data.</w:t>
      </w:r>
    </w:p>
    <w:p w:rsidR="00C256C7" w:rsidRPr="00C256C7" w:rsidRDefault="00C256C7" w:rsidP="00C256C7">
      <w:pPr>
        <w:spacing w:after="187" w:line="240" w:lineRule="auto"/>
        <w:rPr>
          <w:rFonts w:ascii="Arial" w:eastAsia="Times New Roman" w:hAnsi="Arial" w:cs="Arial"/>
          <w:color w:val="333333"/>
          <w:sz w:val="26"/>
          <w:szCs w:val="26"/>
          <w:lang w:eastAsia="it-IT"/>
        </w:rPr>
      </w:pPr>
      <w:r w:rsidRPr="00C256C7">
        <w:rPr>
          <w:rFonts w:ascii="Arial" w:eastAsia="Times New Roman" w:hAnsi="Arial" w:cs="Arial"/>
          <w:b/>
          <w:bCs/>
          <w:color w:val="333333"/>
          <w:sz w:val="26"/>
          <w:lang w:eastAsia="it-IT"/>
        </w:rPr>
        <w:t>Pubblicato il 09/02/2017</w:t>
      </w:r>
    </w:p>
    <w:p w:rsidR="0067259C" w:rsidRDefault="00C256C7"/>
    <w:sectPr w:rsidR="0067259C" w:rsidSect="00701D4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rsids>
    <w:rsidRoot w:val="00C256C7"/>
    <w:rsid w:val="00340A25"/>
    <w:rsid w:val="00701D47"/>
    <w:rsid w:val="00BB0012"/>
    <w:rsid w:val="00C256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D47"/>
  </w:style>
  <w:style w:type="paragraph" w:styleId="Titolo1">
    <w:name w:val="heading 1"/>
    <w:basedOn w:val="Normale"/>
    <w:link w:val="Titolo1Carattere"/>
    <w:uiPriority w:val="9"/>
    <w:qFormat/>
    <w:rsid w:val="00C256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56C7"/>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256C7"/>
    <w:rPr>
      <w:color w:val="0000FF"/>
      <w:u w:val="single"/>
    </w:rPr>
  </w:style>
  <w:style w:type="paragraph" w:styleId="NormaleWeb">
    <w:name w:val="Normal (Web)"/>
    <w:basedOn w:val="Normale"/>
    <w:uiPriority w:val="99"/>
    <w:unhideWhenUsed/>
    <w:rsid w:val="00C256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256C7"/>
    <w:rPr>
      <w:b/>
      <w:bCs/>
    </w:rPr>
  </w:style>
</w:styles>
</file>

<file path=word/webSettings.xml><?xml version="1.0" encoding="utf-8"?>
<w:webSettings xmlns:r="http://schemas.openxmlformats.org/officeDocument/2006/relationships" xmlns:w="http://schemas.openxmlformats.org/wordprocessingml/2006/main">
  <w:divs>
    <w:div w:id="5692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440</Words>
  <Characters>2514</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2017-02-09T09:43:00Z</dcterms:created>
  <dcterms:modified xsi:type="dcterms:W3CDTF">2017-02-09T09:46:00Z</dcterms:modified>
</cp:coreProperties>
</file>