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C6B" w:rsidRDefault="00B409D8" w:rsidP="006A46B5">
      <w:pPr>
        <w:spacing w:after="0"/>
        <w:rPr>
          <w:rFonts w:ascii="Times New Roman" w:hAnsi="Times New Roman" w:cs="Times New Roman"/>
          <w:b/>
          <w:sz w:val="28"/>
          <w:szCs w:val="28"/>
        </w:rPr>
      </w:pPr>
      <w:r w:rsidRPr="00B409D8">
        <w:rPr>
          <w:rFonts w:ascii="Times New Roman" w:hAnsi="Times New Roman" w:cs="Times New Roman"/>
          <w:b/>
          <w:sz w:val="28"/>
          <w:szCs w:val="28"/>
        </w:rPr>
        <w:t xml:space="preserve">PENSIONI </w:t>
      </w:r>
      <w:r w:rsidR="00A8429B">
        <w:rPr>
          <w:rFonts w:ascii="Times New Roman" w:hAnsi="Times New Roman" w:cs="Times New Roman"/>
          <w:b/>
          <w:sz w:val="28"/>
          <w:szCs w:val="28"/>
        </w:rPr>
        <w:t>-</w:t>
      </w:r>
      <w:r w:rsidRPr="00B409D8">
        <w:rPr>
          <w:rFonts w:ascii="Times New Roman" w:hAnsi="Times New Roman" w:cs="Times New Roman"/>
          <w:b/>
          <w:sz w:val="28"/>
          <w:szCs w:val="28"/>
        </w:rPr>
        <w:t xml:space="preserve"> LA RICONGIUNZIONE</w:t>
      </w:r>
    </w:p>
    <w:p w:rsidR="006A46B5" w:rsidRPr="006A46B5" w:rsidRDefault="006A46B5" w:rsidP="006A46B5">
      <w:pPr>
        <w:spacing w:after="0"/>
        <w:rPr>
          <w:rFonts w:ascii="Times New Roman" w:hAnsi="Times New Roman" w:cs="Times New Roman"/>
          <w:b/>
          <w:sz w:val="24"/>
          <w:szCs w:val="24"/>
        </w:rPr>
      </w:pPr>
      <w:r w:rsidRPr="006A46B5">
        <w:rPr>
          <w:rFonts w:ascii="Times New Roman" w:hAnsi="Times New Roman" w:cs="Times New Roman"/>
          <w:b/>
          <w:sz w:val="24"/>
          <w:szCs w:val="24"/>
        </w:rPr>
        <w:t>a cura di Marco Perelli Ercolini</w:t>
      </w:r>
      <w:r w:rsidR="00AD23B2">
        <w:rPr>
          <w:rFonts w:ascii="Times New Roman" w:hAnsi="Times New Roman" w:cs="Times New Roman"/>
          <w:b/>
          <w:sz w:val="24"/>
          <w:szCs w:val="24"/>
        </w:rPr>
        <w:t xml:space="preserve"> e Alfonso Celenza</w:t>
      </w:r>
    </w:p>
    <w:p w:rsidR="006A46B5" w:rsidRDefault="006A46B5" w:rsidP="006A46B5">
      <w:pPr>
        <w:spacing w:after="0"/>
        <w:rPr>
          <w:rFonts w:ascii="Times New Roman" w:hAnsi="Times New Roman" w:cs="Times New Roman"/>
          <w:b/>
          <w:sz w:val="28"/>
          <w:szCs w:val="28"/>
        </w:rPr>
      </w:pPr>
    </w:p>
    <w:tbl>
      <w:tblPr>
        <w:tblStyle w:val="Grigliatabella"/>
        <w:tblW w:w="0" w:type="auto"/>
        <w:tblBorders>
          <w:top w:val="thinThickSmallGap" w:sz="24" w:space="0" w:color="auto"/>
          <w:left w:val="thinThickSmallGap" w:sz="24" w:space="0" w:color="auto"/>
          <w:bottom w:val="thinThickSmallGap" w:sz="24" w:space="0" w:color="auto"/>
          <w:right w:val="thinThickSmallGap" w:sz="24" w:space="0" w:color="auto"/>
        </w:tblBorders>
        <w:tblLook w:val="04A0"/>
      </w:tblPr>
      <w:tblGrid>
        <w:gridCol w:w="1955"/>
        <w:gridCol w:w="1955"/>
        <w:gridCol w:w="1956"/>
        <w:gridCol w:w="1956"/>
        <w:gridCol w:w="1956"/>
      </w:tblGrid>
      <w:tr w:rsidR="007C08BB" w:rsidTr="00C950E4">
        <w:tc>
          <w:tcPr>
            <w:tcW w:w="9778" w:type="dxa"/>
            <w:gridSpan w:val="5"/>
            <w:tcBorders>
              <w:top w:val="thinThickSmallGap" w:sz="12" w:space="0" w:color="auto"/>
              <w:left w:val="thinThickSmallGap" w:sz="12" w:space="0" w:color="auto"/>
              <w:right w:val="thinThickSmallGap" w:sz="12" w:space="0" w:color="auto"/>
            </w:tcBorders>
          </w:tcPr>
          <w:p w:rsidR="00D151C9" w:rsidRDefault="00D151C9" w:rsidP="00D151C9">
            <w:pPr>
              <w:jc w:val="center"/>
              <w:rPr>
                <w:rFonts w:ascii="Arial" w:hAnsi="Arial" w:cs="Arial"/>
                <w:b/>
                <w:sz w:val="20"/>
                <w:szCs w:val="20"/>
              </w:rPr>
            </w:pPr>
          </w:p>
          <w:p w:rsidR="00D151C9" w:rsidRPr="006A46B5" w:rsidRDefault="004512E3" w:rsidP="00FE5775">
            <w:pPr>
              <w:jc w:val="center"/>
              <w:rPr>
                <w:rFonts w:ascii="Arial Black" w:hAnsi="Arial Black" w:cs="Arial"/>
                <w:b/>
                <w:sz w:val="20"/>
                <w:szCs w:val="20"/>
              </w:rPr>
            </w:pPr>
            <w:r w:rsidRPr="006A46B5">
              <w:rPr>
                <w:rFonts w:ascii="Arial Black" w:hAnsi="Arial Black" w:cs="Arial"/>
                <w:b/>
                <w:sz w:val="20"/>
                <w:szCs w:val="20"/>
              </w:rPr>
              <w:t xml:space="preserve">FORME </w:t>
            </w:r>
            <w:r w:rsidR="00FE5775" w:rsidRPr="006A46B5">
              <w:rPr>
                <w:rFonts w:ascii="Arial Black" w:hAnsi="Arial Black" w:cs="Arial"/>
                <w:b/>
                <w:sz w:val="20"/>
                <w:szCs w:val="20"/>
              </w:rPr>
              <w:t>di</w:t>
            </w:r>
            <w:r w:rsidRPr="006A46B5">
              <w:rPr>
                <w:rFonts w:ascii="Arial Black" w:hAnsi="Arial Black" w:cs="Arial"/>
                <w:b/>
                <w:sz w:val="20"/>
                <w:szCs w:val="20"/>
              </w:rPr>
              <w:t xml:space="preserve"> PREVIDENZA   </w:t>
            </w:r>
          </w:p>
          <w:p w:rsidR="00FE5775" w:rsidRPr="00D151C9" w:rsidRDefault="00FE5775" w:rsidP="00FE5775">
            <w:pPr>
              <w:jc w:val="center"/>
              <w:rPr>
                <w:rFonts w:ascii="Arial" w:hAnsi="Arial" w:cs="Arial"/>
                <w:b/>
                <w:sz w:val="20"/>
                <w:szCs w:val="20"/>
              </w:rPr>
            </w:pPr>
          </w:p>
        </w:tc>
      </w:tr>
      <w:tr w:rsidR="007C08BB" w:rsidTr="00FE5775">
        <w:tc>
          <w:tcPr>
            <w:tcW w:w="1955" w:type="dxa"/>
            <w:tcBorders>
              <w:left w:val="thinThickSmallGap" w:sz="12" w:space="0" w:color="auto"/>
            </w:tcBorders>
          </w:tcPr>
          <w:p w:rsidR="00D151C9" w:rsidRDefault="00D151C9" w:rsidP="00D151C9">
            <w:pPr>
              <w:jc w:val="center"/>
              <w:rPr>
                <w:rFonts w:ascii="Times New Roman" w:hAnsi="Times New Roman" w:cs="Times New Roman"/>
                <w:b/>
                <w:sz w:val="20"/>
                <w:szCs w:val="20"/>
              </w:rPr>
            </w:pPr>
          </w:p>
          <w:p w:rsidR="004512E3" w:rsidRDefault="004512E3" w:rsidP="00D151C9">
            <w:pPr>
              <w:jc w:val="center"/>
              <w:rPr>
                <w:rFonts w:ascii="Times New Roman" w:hAnsi="Times New Roman" w:cs="Times New Roman"/>
                <w:b/>
                <w:sz w:val="20"/>
                <w:szCs w:val="20"/>
              </w:rPr>
            </w:pPr>
            <w:r w:rsidRPr="00FE5775">
              <w:rPr>
                <w:rFonts w:ascii="Times New Roman" w:hAnsi="Times New Roman" w:cs="Times New Roman"/>
                <w:b/>
                <w:sz w:val="24"/>
                <w:szCs w:val="24"/>
              </w:rPr>
              <w:t>A</w:t>
            </w:r>
            <w:r w:rsidRPr="004512E3">
              <w:rPr>
                <w:rFonts w:ascii="Times New Roman" w:hAnsi="Times New Roman" w:cs="Times New Roman"/>
                <w:b/>
                <w:sz w:val="16"/>
                <w:szCs w:val="16"/>
              </w:rPr>
              <w:t>ssicurazione</w:t>
            </w:r>
            <w:r>
              <w:rPr>
                <w:rFonts w:ascii="Times New Roman" w:hAnsi="Times New Roman" w:cs="Times New Roman"/>
                <w:b/>
                <w:sz w:val="20"/>
                <w:szCs w:val="20"/>
              </w:rPr>
              <w:t xml:space="preserve"> </w:t>
            </w:r>
            <w:r w:rsidRPr="00FE5775">
              <w:rPr>
                <w:rFonts w:ascii="Times New Roman" w:hAnsi="Times New Roman" w:cs="Times New Roman"/>
                <w:b/>
                <w:sz w:val="24"/>
                <w:szCs w:val="24"/>
              </w:rPr>
              <w:t>G</w:t>
            </w:r>
            <w:r w:rsidRPr="004512E3">
              <w:rPr>
                <w:rFonts w:ascii="Times New Roman" w:hAnsi="Times New Roman" w:cs="Times New Roman"/>
                <w:b/>
                <w:sz w:val="16"/>
                <w:szCs w:val="16"/>
              </w:rPr>
              <w:t xml:space="preserve">enerale </w:t>
            </w:r>
            <w:r w:rsidRPr="00FE5775">
              <w:rPr>
                <w:rFonts w:ascii="Times New Roman" w:hAnsi="Times New Roman" w:cs="Times New Roman"/>
                <w:b/>
                <w:sz w:val="24"/>
                <w:szCs w:val="24"/>
              </w:rPr>
              <w:t>O</w:t>
            </w:r>
            <w:r w:rsidRPr="004512E3">
              <w:rPr>
                <w:rFonts w:ascii="Times New Roman" w:hAnsi="Times New Roman" w:cs="Times New Roman"/>
                <w:b/>
                <w:sz w:val="16"/>
                <w:szCs w:val="16"/>
              </w:rPr>
              <w:t>bbligatoria</w:t>
            </w:r>
            <w:r>
              <w:rPr>
                <w:rFonts w:ascii="Times New Roman" w:hAnsi="Times New Roman" w:cs="Times New Roman"/>
                <w:b/>
                <w:sz w:val="16"/>
                <w:szCs w:val="16"/>
              </w:rPr>
              <w:t xml:space="preserve"> </w:t>
            </w:r>
          </w:p>
          <w:p w:rsidR="007C08BB" w:rsidRDefault="00D151C9" w:rsidP="00D151C9">
            <w:pPr>
              <w:jc w:val="center"/>
              <w:rPr>
                <w:rFonts w:ascii="Times New Roman" w:hAnsi="Times New Roman" w:cs="Times New Roman"/>
                <w:b/>
                <w:sz w:val="20"/>
                <w:szCs w:val="20"/>
              </w:rPr>
            </w:pPr>
            <w:r>
              <w:rPr>
                <w:rFonts w:ascii="Times New Roman" w:hAnsi="Times New Roman" w:cs="Times New Roman"/>
                <w:b/>
                <w:sz w:val="20"/>
                <w:szCs w:val="20"/>
              </w:rPr>
              <w:t xml:space="preserve"> (FPLD</w:t>
            </w:r>
            <w:r w:rsidR="00FE5775">
              <w:rPr>
                <w:rFonts w:ascii="Times New Roman" w:hAnsi="Times New Roman" w:cs="Times New Roman"/>
                <w:b/>
                <w:sz w:val="20"/>
                <w:szCs w:val="20"/>
              </w:rPr>
              <w:t xml:space="preserve"> e </w:t>
            </w:r>
            <w:r>
              <w:rPr>
                <w:rFonts w:ascii="Times New Roman" w:hAnsi="Times New Roman" w:cs="Times New Roman"/>
                <w:b/>
                <w:sz w:val="20"/>
                <w:szCs w:val="20"/>
              </w:rPr>
              <w:t>Gestioni speciali autonomi)</w:t>
            </w:r>
          </w:p>
          <w:p w:rsidR="00D151C9" w:rsidRPr="00D151C9" w:rsidRDefault="00D151C9" w:rsidP="00D151C9">
            <w:pPr>
              <w:jc w:val="center"/>
              <w:rPr>
                <w:rFonts w:ascii="Times New Roman" w:hAnsi="Times New Roman" w:cs="Times New Roman"/>
                <w:b/>
                <w:sz w:val="20"/>
                <w:szCs w:val="20"/>
              </w:rPr>
            </w:pPr>
          </w:p>
        </w:tc>
        <w:tc>
          <w:tcPr>
            <w:tcW w:w="1955" w:type="dxa"/>
            <w:vAlign w:val="center"/>
          </w:tcPr>
          <w:p w:rsidR="007C08BB" w:rsidRDefault="00D151C9" w:rsidP="00FE5775">
            <w:pPr>
              <w:jc w:val="center"/>
              <w:rPr>
                <w:rFonts w:ascii="Times New Roman" w:hAnsi="Times New Roman" w:cs="Times New Roman"/>
                <w:b/>
                <w:sz w:val="20"/>
                <w:szCs w:val="20"/>
              </w:rPr>
            </w:pPr>
            <w:r>
              <w:rPr>
                <w:rFonts w:ascii="Times New Roman" w:hAnsi="Times New Roman" w:cs="Times New Roman"/>
                <w:b/>
                <w:sz w:val="20"/>
                <w:szCs w:val="20"/>
              </w:rPr>
              <w:t>Fondi sostitutivi</w:t>
            </w:r>
          </w:p>
          <w:p w:rsidR="004512E3" w:rsidRPr="00D151C9" w:rsidRDefault="004512E3" w:rsidP="00FE5775">
            <w:pPr>
              <w:jc w:val="center"/>
              <w:rPr>
                <w:rFonts w:ascii="Times New Roman" w:hAnsi="Times New Roman" w:cs="Times New Roman"/>
                <w:b/>
                <w:sz w:val="20"/>
                <w:szCs w:val="20"/>
              </w:rPr>
            </w:pPr>
            <w:r>
              <w:rPr>
                <w:rFonts w:ascii="Times New Roman" w:hAnsi="Times New Roman" w:cs="Times New Roman"/>
                <w:b/>
                <w:sz w:val="20"/>
                <w:szCs w:val="20"/>
              </w:rPr>
              <w:t>(Fondi Autonomi gestiti dall’INPS)</w:t>
            </w:r>
          </w:p>
        </w:tc>
        <w:tc>
          <w:tcPr>
            <w:tcW w:w="1956" w:type="dxa"/>
          </w:tcPr>
          <w:p w:rsidR="00D151C9" w:rsidRDefault="00D151C9" w:rsidP="00D151C9">
            <w:pPr>
              <w:jc w:val="center"/>
              <w:rPr>
                <w:rFonts w:ascii="Times New Roman" w:hAnsi="Times New Roman" w:cs="Times New Roman"/>
                <w:b/>
                <w:sz w:val="20"/>
                <w:szCs w:val="20"/>
              </w:rPr>
            </w:pPr>
          </w:p>
          <w:p w:rsidR="007C08BB" w:rsidRDefault="00D151C9" w:rsidP="00D151C9">
            <w:pPr>
              <w:jc w:val="center"/>
              <w:rPr>
                <w:rFonts w:ascii="Times New Roman" w:hAnsi="Times New Roman" w:cs="Times New Roman"/>
                <w:b/>
                <w:sz w:val="20"/>
                <w:szCs w:val="20"/>
              </w:rPr>
            </w:pPr>
            <w:r>
              <w:rPr>
                <w:rFonts w:ascii="Times New Roman" w:hAnsi="Times New Roman" w:cs="Times New Roman"/>
                <w:b/>
                <w:sz w:val="20"/>
                <w:szCs w:val="20"/>
              </w:rPr>
              <w:t>Fondi esclusivi</w:t>
            </w:r>
          </w:p>
          <w:p w:rsidR="004512E3" w:rsidRPr="00D151C9" w:rsidRDefault="004512E3" w:rsidP="00FE5775">
            <w:pPr>
              <w:jc w:val="center"/>
              <w:rPr>
                <w:rFonts w:ascii="Times New Roman" w:hAnsi="Times New Roman" w:cs="Times New Roman"/>
                <w:b/>
                <w:sz w:val="20"/>
                <w:szCs w:val="20"/>
              </w:rPr>
            </w:pPr>
            <w:r>
              <w:rPr>
                <w:rFonts w:ascii="Times New Roman" w:hAnsi="Times New Roman" w:cs="Times New Roman"/>
                <w:b/>
                <w:sz w:val="20"/>
                <w:szCs w:val="20"/>
              </w:rPr>
              <w:t>(Dipendenti dell</w:t>
            </w:r>
            <w:r w:rsidR="00FE5775">
              <w:rPr>
                <w:rFonts w:ascii="Times New Roman" w:hAnsi="Times New Roman" w:cs="Times New Roman"/>
                <w:b/>
                <w:sz w:val="20"/>
                <w:szCs w:val="20"/>
              </w:rPr>
              <w:t>o</w:t>
            </w:r>
            <w:r>
              <w:rPr>
                <w:rFonts w:ascii="Times New Roman" w:hAnsi="Times New Roman" w:cs="Times New Roman"/>
                <w:b/>
                <w:sz w:val="20"/>
                <w:szCs w:val="20"/>
              </w:rPr>
              <w:t xml:space="preserve"> Stato e degli Enti locali – ex INPDAP)</w:t>
            </w:r>
          </w:p>
        </w:tc>
        <w:tc>
          <w:tcPr>
            <w:tcW w:w="1956" w:type="dxa"/>
            <w:vAlign w:val="center"/>
          </w:tcPr>
          <w:p w:rsidR="007C08BB" w:rsidRPr="00D151C9" w:rsidRDefault="00D151C9" w:rsidP="004512E3">
            <w:pPr>
              <w:jc w:val="center"/>
              <w:rPr>
                <w:rFonts w:ascii="Times New Roman" w:hAnsi="Times New Roman" w:cs="Times New Roman"/>
                <w:b/>
                <w:sz w:val="20"/>
                <w:szCs w:val="20"/>
              </w:rPr>
            </w:pPr>
            <w:r>
              <w:rPr>
                <w:rFonts w:ascii="Times New Roman" w:hAnsi="Times New Roman" w:cs="Times New Roman"/>
                <w:b/>
                <w:sz w:val="20"/>
                <w:szCs w:val="20"/>
              </w:rPr>
              <w:t>Gestione separata</w:t>
            </w:r>
            <w:r w:rsidR="00FE5775">
              <w:rPr>
                <w:rFonts w:ascii="Times New Roman" w:hAnsi="Times New Roman" w:cs="Times New Roman"/>
                <w:b/>
                <w:sz w:val="20"/>
                <w:szCs w:val="20"/>
              </w:rPr>
              <w:t xml:space="preserve"> INPS</w:t>
            </w:r>
          </w:p>
        </w:tc>
        <w:tc>
          <w:tcPr>
            <w:tcW w:w="1956" w:type="dxa"/>
            <w:tcBorders>
              <w:right w:val="thinThickSmallGap" w:sz="12" w:space="0" w:color="auto"/>
            </w:tcBorders>
            <w:vAlign w:val="center"/>
          </w:tcPr>
          <w:p w:rsidR="007C08BB" w:rsidRPr="00D151C9" w:rsidRDefault="00D151C9" w:rsidP="004512E3">
            <w:pPr>
              <w:jc w:val="center"/>
              <w:rPr>
                <w:rFonts w:ascii="Times New Roman" w:hAnsi="Times New Roman" w:cs="Times New Roman"/>
                <w:b/>
                <w:sz w:val="20"/>
                <w:szCs w:val="20"/>
              </w:rPr>
            </w:pPr>
            <w:r>
              <w:rPr>
                <w:rFonts w:ascii="Times New Roman" w:hAnsi="Times New Roman" w:cs="Times New Roman"/>
                <w:b/>
                <w:sz w:val="20"/>
                <w:szCs w:val="20"/>
              </w:rPr>
              <w:t>Casse privatizzate</w:t>
            </w:r>
          </w:p>
        </w:tc>
      </w:tr>
      <w:tr w:rsidR="00D151C9" w:rsidTr="00FE5775">
        <w:tc>
          <w:tcPr>
            <w:tcW w:w="7822" w:type="dxa"/>
            <w:gridSpan w:val="4"/>
            <w:tcBorders>
              <w:left w:val="thinThickSmallGap" w:sz="12" w:space="0" w:color="auto"/>
              <w:bottom w:val="thinThickSmallGap" w:sz="12" w:space="0" w:color="auto"/>
            </w:tcBorders>
          </w:tcPr>
          <w:p w:rsidR="00D151C9" w:rsidRDefault="00D151C9" w:rsidP="004512E3">
            <w:pPr>
              <w:jc w:val="center"/>
              <w:rPr>
                <w:rFonts w:ascii="Times New Roman" w:hAnsi="Times New Roman" w:cs="Times New Roman"/>
                <w:b/>
                <w:sz w:val="20"/>
                <w:szCs w:val="20"/>
              </w:rPr>
            </w:pPr>
          </w:p>
          <w:p w:rsidR="00D151C9" w:rsidRDefault="00D151C9" w:rsidP="004512E3">
            <w:pPr>
              <w:jc w:val="center"/>
              <w:rPr>
                <w:rFonts w:ascii="Times New Roman" w:hAnsi="Times New Roman" w:cs="Times New Roman"/>
                <w:b/>
                <w:sz w:val="20"/>
                <w:szCs w:val="20"/>
              </w:rPr>
            </w:pPr>
            <w:r w:rsidRPr="00D151C9">
              <w:rPr>
                <w:rFonts w:ascii="Times New Roman" w:hAnsi="Times New Roman" w:cs="Times New Roman"/>
                <w:b/>
                <w:sz w:val="20"/>
                <w:szCs w:val="20"/>
              </w:rPr>
              <w:t>Legge 29/1979</w:t>
            </w:r>
          </w:p>
          <w:p w:rsidR="004512E3" w:rsidRDefault="004512E3" w:rsidP="004512E3">
            <w:pPr>
              <w:jc w:val="center"/>
              <w:rPr>
                <w:rFonts w:ascii="Times New Roman" w:hAnsi="Times New Roman" w:cs="Times New Roman"/>
                <w:b/>
                <w:sz w:val="20"/>
                <w:szCs w:val="20"/>
              </w:rPr>
            </w:pPr>
            <w:r>
              <w:rPr>
                <w:rFonts w:ascii="Times New Roman" w:hAnsi="Times New Roman" w:cs="Times New Roman"/>
                <w:b/>
                <w:sz w:val="20"/>
                <w:szCs w:val="20"/>
              </w:rPr>
              <w:t>(in passato anche L. 322/1958)</w:t>
            </w:r>
          </w:p>
          <w:p w:rsidR="00D151C9" w:rsidRPr="00D151C9" w:rsidRDefault="00D151C9" w:rsidP="004512E3">
            <w:pPr>
              <w:jc w:val="center"/>
              <w:rPr>
                <w:rFonts w:ascii="Times New Roman" w:hAnsi="Times New Roman" w:cs="Times New Roman"/>
                <w:b/>
                <w:sz w:val="20"/>
                <w:szCs w:val="20"/>
              </w:rPr>
            </w:pPr>
          </w:p>
        </w:tc>
        <w:tc>
          <w:tcPr>
            <w:tcW w:w="1956" w:type="dxa"/>
            <w:tcBorders>
              <w:bottom w:val="thinThickSmallGap" w:sz="12" w:space="0" w:color="auto"/>
              <w:right w:val="thinThickSmallGap" w:sz="12" w:space="0" w:color="auto"/>
            </w:tcBorders>
            <w:vAlign w:val="center"/>
          </w:tcPr>
          <w:p w:rsidR="00D151C9" w:rsidRPr="00D151C9" w:rsidRDefault="00D151C9" w:rsidP="00FE5775">
            <w:pPr>
              <w:jc w:val="center"/>
              <w:rPr>
                <w:rFonts w:ascii="Times New Roman" w:hAnsi="Times New Roman" w:cs="Times New Roman"/>
                <w:b/>
                <w:sz w:val="20"/>
                <w:szCs w:val="20"/>
              </w:rPr>
            </w:pPr>
            <w:r w:rsidRPr="00D151C9">
              <w:rPr>
                <w:rFonts w:ascii="Times New Roman" w:hAnsi="Times New Roman" w:cs="Times New Roman"/>
                <w:b/>
                <w:sz w:val="20"/>
                <w:szCs w:val="20"/>
              </w:rPr>
              <w:t>Legge 45/1990</w:t>
            </w:r>
          </w:p>
        </w:tc>
      </w:tr>
    </w:tbl>
    <w:p w:rsidR="007C08BB" w:rsidRDefault="007C08BB" w:rsidP="00D151C9">
      <w:pPr>
        <w:jc w:val="center"/>
        <w:rPr>
          <w:rFonts w:ascii="Times New Roman" w:hAnsi="Times New Roman" w:cs="Times New Roman"/>
          <w:b/>
          <w:sz w:val="28"/>
          <w:szCs w:val="28"/>
        </w:rPr>
      </w:pPr>
    </w:p>
    <w:p w:rsidR="00EE14C4" w:rsidRDefault="0043534E" w:rsidP="00EE14C4">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Pr>
          <w:rFonts w:ascii="Times New Roman" w:hAnsi="Times New Roman" w:cs="Times New Roman"/>
          <w:bCs/>
          <w:sz w:val="24"/>
          <w:szCs w:val="24"/>
        </w:rPr>
        <w:t xml:space="preserve">Col termine di </w:t>
      </w:r>
      <w:r w:rsidR="00B409D8" w:rsidRPr="00B409D8">
        <w:rPr>
          <w:rFonts w:ascii="Times New Roman" w:hAnsi="Times New Roman" w:cs="Times New Roman"/>
          <w:b/>
          <w:bCs/>
          <w:sz w:val="24"/>
          <w:szCs w:val="24"/>
        </w:rPr>
        <w:t xml:space="preserve">RICONGIUNZIONE </w:t>
      </w:r>
      <w:r w:rsidR="00B409D8" w:rsidRPr="00B409D8">
        <w:rPr>
          <w:rFonts w:ascii="Times New Roman" w:hAnsi="Times New Roman" w:cs="Times New Roman"/>
          <w:bCs/>
          <w:sz w:val="24"/>
          <w:szCs w:val="24"/>
        </w:rPr>
        <w:t>(</w:t>
      </w:r>
      <w:r w:rsidR="00B409D8" w:rsidRPr="00B409D8">
        <w:rPr>
          <w:rFonts w:ascii="Times New Roman" w:eastAsia="Times New Roman" w:hAnsi="Times New Roman" w:cs="Times New Roman"/>
          <w:color w:val="000000"/>
          <w:sz w:val="24"/>
          <w:szCs w:val="24"/>
          <w:lang w:eastAsia="it-IT"/>
        </w:rPr>
        <w:t>leggi 29/1979 e 45/1990</w:t>
      </w:r>
      <w:r w:rsidR="00B409D8">
        <w:rPr>
          <w:rFonts w:ascii="Times New Roman" w:eastAsia="Times New Roman" w:hAnsi="Times New Roman" w:cs="Times New Roman"/>
          <w:color w:val="000000"/>
          <w:sz w:val="24"/>
          <w:szCs w:val="24"/>
          <w:lang w:eastAsia="it-IT"/>
        </w:rPr>
        <w:t>)</w:t>
      </w:r>
      <w:r w:rsidR="00B409D8" w:rsidRPr="00B409D8">
        <w:rPr>
          <w:rFonts w:ascii="Times New Roman" w:eastAsia="Times New Roman" w:hAnsi="Times New Roman" w:cs="Times New Roman"/>
          <w:color w:val="000000"/>
          <w:sz w:val="24"/>
          <w:szCs w:val="24"/>
          <w:lang w:eastAsia="it-IT"/>
        </w:rPr>
        <w:t xml:space="preserve"> </w:t>
      </w:r>
      <w:r w:rsidR="00B409D8" w:rsidRPr="00B409D8">
        <w:rPr>
          <w:rFonts w:ascii="Times New Roman" w:hAnsi="Times New Roman" w:cs="Times New Roman"/>
          <w:b/>
          <w:bCs/>
          <w:sz w:val="24"/>
          <w:szCs w:val="24"/>
        </w:rPr>
        <w:t xml:space="preserve"> </w:t>
      </w:r>
      <w:r>
        <w:rPr>
          <w:rFonts w:ascii="Times New Roman" w:hAnsi="Times New Roman" w:cs="Times New Roman"/>
          <w:sz w:val="24"/>
          <w:szCs w:val="24"/>
        </w:rPr>
        <w:t>si intende</w:t>
      </w:r>
      <w:r w:rsidR="00B409D8" w:rsidRPr="00B409D8">
        <w:rPr>
          <w:rFonts w:ascii="Times New Roman" w:hAnsi="Times New Roman" w:cs="Times New Roman"/>
          <w:sz w:val="24"/>
          <w:szCs w:val="24"/>
        </w:rPr>
        <w:t xml:space="preserve"> la possibilità di riunire presso un unico fondo previdenziale tutti i periodi precedenti di contribuzione obbligatoria, volontaria e </w:t>
      </w:r>
      <w:r w:rsidR="00B409D8" w:rsidRPr="002C7C30">
        <w:rPr>
          <w:rFonts w:ascii="Times New Roman" w:hAnsi="Times New Roman" w:cs="Times New Roman"/>
          <w:sz w:val="24"/>
          <w:szCs w:val="24"/>
        </w:rPr>
        <w:t>figurativ</w:t>
      </w:r>
      <w:r w:rsidR="00B409D8" w:rsidRPr="00B409D8">
        <w:rPr>
          <w:rFonts w:ascii="Times New Roman" w:hAnsi="Times New Roman" w:cs="Times New Roman"/>
          <w:sz w:val="24"/>
          <w:szCs w:val="24"/>
        </w:rPr>
        <w:t>a maturati presso altre forme o fondi di previdenza, che non hanno dato luogo a trattamento di quiescenza, sia sotto forma di pensione o di indennità una tantum o di assegno vitalizio, ai fini del conseguimento del diritto, della anzianità e del calcolo di una unica pensione</w:t>
      </w:r>
      <w:r w:rsidR="007C08BB">
        <w:rPr>
          <w:rFonts w:ascii="Times New Roman" w:hAnsi="Times New Roman" w:cs="Times New Roman"/>
          <w:sz w:val="24"/>
          <w:szCs w:val="24"/>
        </w:rPr>
        <w:t xml:space="preserve"> (pensione di vecchiaia, pensione anticipata, pensione di inabilità, pensione indiretta, pensione supplementare, ove previsto, e assegno ordinario di inva</w:t>
      </w:r>
      <w:r w:rsidR="007C08BB">
        <w:rPr>
          <w:rFonts w:ascii="Times New Roman" w:eastAsia="Times New Roman" w:hAnsi="Times New Roman" w:cs="Times New Roman"/>
          <w:color w:val="000000"/>
          <w:sz w:val="24"/>
          <w:szCs w:val="24"/>
          <w:lang w:eastAsia="it-IT"/>
        </w:rPr>
        <w:t>lidità, ove previsto).</w:t>
      </w:r>
      <w:r w:rsidR="00C950E4">
        <w:rPr>
          <w:rFonts w:ascii="Times New Roman" w:eastAsia="Times New Roman" w:hAnsi="Times New Roman" w:cs="Times New Roman"/>
          <w:color w:val="000000"/>
          <w:sz w:val="24"/>
          <w:szCs w:val="24"/>
          <w:lang w:eastAsia="it-IT"/>
        </w:rPr>
        <w:t xml:space="preserve"> Al contrario del trasferimento, è onerosa dovendosi garantire la riserva matematica per il pagamento del trattamento corrispondente ai periodi oggetto di ricongiunzione. </w:t>
      </w:r>
    </w:p>
    <w:p w:rsidR="00EE14C4" w:rsidRDefault="00EE14C4" w:rsidP="00EE14C4">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p>
    <w:p w:rsidR="00B409D8" w:rsidRPr="00EE14C4" w:rsidRDefault="00B409D8" w:rsidP="00EE14C4">
      <w:pPr>
        <w:autoSpaceDE w:val="0"/>
        <w:autoSpaceDN w:val="0"/>
        <w:adjustRightInd w:val="0"/>
        <w:spacing w:after="0" w:line="240" w:lineRule="auto"/>
        <w:ind w:left="1416"/>
        <w:jc w:val="both"/>
        <w:rPr>
          <w:rFonts w:ascii="Times New Roman" w:hAnsi="Times New Roman" w:cs="Times New Roman"/>
          <w:sz w:val="20"/>
          <w:szCs w:val="20"/>
        </w:rPr>
      </w:pPr>
      <w:r w:rsidRPr="00B409D8">
        <w:rPr>
          <w:rFonts w:ascii="Times New Roman" w:hAnsi="Times New Roman" w:cs="Times New Roman"/>
          <w:sz w:val="20"/>
          <w:szCs w:val="20"/>
        </w:rPr>
        <w:t>In passato</w:t>
      </w:r>
      <w:r w:rsidR="00852C04">
        <w:rPr>
          <w:rFonts w:ascii="Times New Roman" w:hAnsi="Times New Roman" w:cs="Times New Roman"/>
          <w:sz w:val="20"/>
          <w:szCs w:val="20"/>
        </w:rPr>
        <w:t xml:space="preserve"> (sino al 30 luglio 2010) </w:t>
      </w:r>
      <w:r w:rsidRPr="00B409D8">
        <w:rPr>
          <w:rFonts w:ascii="Times New Roman" w:hAnsi="Times New Roman" w:cs="Times New Roman"/>
          <w:sz w:val="20"/>
          <w:szCs w:val="20"/>
        </w:rPr>
        <w:t xml:space="preserve"> era possibile anche il </w:t>
      </w:r>
      <w:r w:rsidRPr="00B409D8">
        <w:rPr>
          <w:rFonts w:ascii="Times New Roman" w:hAnsi="Times New Roman" w:cs="Times New Roman"/>
          <w:b/>
          <w:bCs/>
          <w:sz w:val="20"/>
          <w:szCs w:val="20"/>
        </w:rPr>
        <w:t>TRASFERIMENTO DEI CONTRIBUTI</w:t>
      </w:r>
      <w:r w:rsidR="00EE14C4">
        <w:rPr>
          <w:rFonts w:ascii="Times New Roman" w:hAnsi="Times New Roman" w:cs="Times New Roman"/>
          <w:b/>
          <w:bCs/>
          <w:sz w:val="20"/>
          <w:szCs w:val="20"/>
        </w:rPr>
        <w:t xml:space="preserve"> </w:t>
      </w:r>
      <w:r w:rsidR="00EE14C4" w:rsidRPr="00EE14C4">
        <w:rPr>
          <w:rFonts w:ascii="Times New Roman" w:hAnsi="Times New Roman" w:cs="Times New Roman"/>
          <w:bCs/>
          <w:sz w:val="20"/>
          <w:szCs w:val="20"/>
        </w:rPr>
        <w:t>(legge 322/1958)</w:t>
      </w:r>
      <w:r w:rsidR="00EE14C4">
        <w:rPr>
          <w:rFonts w:ascii="Times New Roman" w:hAnsi="Times New Roman" w:cs="Times New Roman"/>
          <w:b/>
          <w:bCs/>
          <w:sz w:val="20"/>
          <w:szCs w:val="20"/>
        </w:rPr>
        <w:t xml:space="preserve"> </w:t>
      </w:r>
      <w:r w:rsidRPr="00B409D8">
        <w:rPr>
          <w:rFonts w:ascii="Times New Roman" w:hAnsi="Times New Roman" w:cs="Times New Roman"/>
          <w:b/>
          <w:bCs/>
          <w:sz w:val="20"/>
          <w:szCs w:val="20"/>
        </w:rPr>
        <w:t xml:space="preserve"> </w:t>
      </w:r>
      <w:r w:rsidRPr="00B409D8">
        <w:rPr>
          <w:rFonts w:ascii="Times New Roman" w:hAnsi="Times New Roman" w:cs="Times New Roman"/>
          <w:sz w:val="20"/>
          <w:szCs w:val="20"/>
        </w:rPr>
        <w:t>cioè è il passaggio senza oneri da un ente all'altro dei contributi versati dal lavoratore per costituire una nuova posizione previdenziale. L’istituto  è poi stato ab</w:t>
      </w:r>
      <w:r w:rsidR="00EE14C4">
        <w:rPr>
          <w:rFonts w:ascii="Times New Roman" w:hAnsi="Times New Roman" w:cs="Times New Roman"/>
          <w:sz w:val="20"/>
          <w:szCs w:val="20"/>
        </w:rPr>
        <w:t xml:space="preserve">rogato </w:t>
      </w:r>
      <w:r w:rsidR="00EE14C4" w:rsidRPr="00EE14C4">
        <w:rPr>
          <w:rFonts w:ascii="Times New Roman" w:eastAsia="Times New Roman" w:hAnsi="Times New Roman" w:cs="Times New Roman"/>
          <w:bCs/>
          <w:iCs/>
          <w:color w:val="000000"/>
          <w:sz w:val="20"/>
          <w:szCs w:val="20"/>
          <w:lang w:eastAsia="it-IT"/>
        </w:rPr>
        <w:t xml:space="preserve">dal </w:t>
      </w:r>
      <w:r w:rsidR="00EE14C4">
        <w:rPr>
          <w:rFonts w:ascii="Times New Roman" w:eastAsia="Times New Roman" w:hAnsi="Times New Roman" w:cs="Times New Roman"/>
          <w:bCs/>
          <w:iCs/>
          <w:color w:val="000000"/>
          <w:sz w:val="20"/>
          <w:szCs w:val="20"/>
          <w:lang w:eastAsia="it-IT"/>
        </w:rPr>
        <w:t>D.L.</w:t>
      </w:r>
      <w:r w:rsidR="00EE14C4" w:rsidRPr="00EE14C4">
        <w:rPr>
          <w:rFonts w:ascii="Times New Roman" w:eastAsia="Times New Roman" w:hAnsi="Times New Roman" w:cs="Times New Roman"/>
          <w:bCs/>
          <w:iCs/>
          <w:color w:val="000000"/>
          <w:sz w:val="20"/>
          <w:szCs w:val="20"/>
          <w:lang w:eastAsia="it-IT"/>
        </w:rPr>
        <w:t xml:space="preserve"> 31 maggio 2010, n. 78, convertito,</w:t>
      </w:r>
      <w:r w:rsidR="00EE14C4">
        <w:rPr>
          <w:rFonts w:ascii="Times New Roman" w:eastAsia="Times New Roman" w:hAnsi="Times New Roman" w:cs="Times New Roman"/>
          <w:bCs/>
          <w:iCs/>
          <w:color w:val="000000"/>
          <w:sz w:val="20"/>
          <w:szCs w:val="20"/>
          <w:lang w:eastAsia="it-IT"/>
        </w:rPr>
        <w:t xml:space="preserve"> </w:t>
      </w:r>
      <w:r w:rsidR="00EE14C4" w:rsidRPr="00EE14C4">
        <w:rPr>
          <w:rFonts w:ascii="Times New Roman" w:eastAsia="Times New Roman" w:hAnsi="Times New Roman" w:cs="Times New Roman"/>
          <w:bCs/>
          <w:iCs/>
          <w:color w:val="000000"/>
          <w:sz w:val="20"/>
          <w:szCs w:val="20"/>
          <w:lang w:eastAsia="it-IT"/>
        </w:rPr>
        <w:t xml:space="preserve"> con modificazioni, dalla </w:t>
      </w:r>
      <w:r w:rsidR="00EE14C4">
        <w:rPr>
          <w:rFonts w:ascii="Times New Roman" w:eastAsia="Times New Roman" w:hAnsi="Times New Roman" w:cs="Times New Roman"/>
          <w:bCs/>
          <w:iCs/>
          <w:color w:val="000000"/>
          <w:sz w:val="20"/>
          <w:szCs w:val="20"/>
          <w:lang w:eastAsia="it-IT"/>
        </w:rPr>
        <w:t>legge</w:t>
      </w:r>
      <w:r w:rsidR="00EE14C4" w:rsidRPr="00EE14C4">
        <w:rPr>
          <w:rFonts w:ascii="Times New Roman" w:eastAsia="Times New Roman" w:hAnsi="Times New Roman" w:cs="Times New Roman"/>
          <w:bCs/>
          <w:iCs/>
          <w:color w:val="000000"/>
          <w:sz w:val="20"/>
          <w:szCs w:val="20"/>
          <w:lang w:eastAsia="it-IT"/>
        </w:rPr>
        <w:t xml:space="preserve"> 30 luglio 2010, n. 122</w:t>
      </w:r>
      <w:r w:rsidR="00EE14C4" w:rsidRPr="00EE14C4">
        <w:rPr>
          <w:rFonts w:ascii="Times New Roman" w:hAnsi="Times New Roman" w:cs="Times New Roman"/>
          <w:sz w:val="20"/>
          <w:szCs w:val="20"/>
        </w:rPr>
        <w:t>.</w:t>
      </w:r>
    </w:p>
    <w:p w:rsidR="00B409D8" w:rsidRDefault="00B409D8" w:rsidP="00B409D8">
      <w:pPr>
        <w:autoSpaceDE w:val="0"/>
        <w:autoSpaceDN w:val="0"/>
        <w:adjustRightInd w:val="0"/>
        <w:spacing w:after="0" w:line="240" w:lineRule="auto"/>
        <w:jc w:val="both"/>
        <w:rPr>
          <w:rFonts w:ascii="Times New Roman" w:hAnsi="Times New Roman" w:cs="Times New Roman"/>
          <w:sz w:val="20"/>
          <w:szCs w:val="20"/>
        </w:rPr>
      </w:pPr>
    </w:p>
    <w:p w:rsidR="00B409D8" w:rsidRDefault="00B409D8" w:rsidP="002C7C30">
      <w:pPr>
        <w:shd w:val="clear" w:color="auto" w:fill="FFFFFF"/>
        <w:spacing w:after="0" w:line="240" w:lineRule="auto"/>
        <w:jc w:val="both"/>
        <w:rPr>
          <w:rFonts w:ascii="Times New Roman" w:eastAsia="Times New Roman" w:hAnsi="Times New Roman" w:cs="Times New Roman"/>
          <w:sz w:val="24"/>
          <w:szCs w:val="24"/>
          <w:lang w:eastAsia="it-IT"/>
        </w:rPr>
      </w:pPr>
      <w:r w:rsidRPr="002C7C30">
        <w:rPr>
          <w:rFonts w:ascii="Times New Roman" w:eastAsia="Times New Roman" w:hAnsi="Times New Roman" w:cs="Times New Roman"/>
          <w:sz w:val="24"/>
          <w:szCs w:val="24"/>
          <w:lang w:eastAsia="it-IT"/>
        </w:rPr>
        <w:t>La ricongiunzione si attiva  a domanda da parte del diretto interessato o dei suoi superstiti e deve comprendere tutti i periodi di contribuzione (obbligatoria, volontaria, figurativa, riscattata) che il lavoratore ha maturato in almeno due diverse forme previdenziali fino al momento della richiesta e che non siano già stati ut</w:t>
      </w:r>
      <w:r w:rsidR="002C7C30">
        <w:rPr>
          <w:rFonts w:ascii="Times New Roman" w:eastAsia="Times New Roman" w:hAnsi="Times New Roman" w:cs="Times New Roman"/>
          <w:sz w:val="24"/>
          <w:szCs w:val="24"/>
          <w:lang w:eastAsia="it-IT"/>
        </w:rPr>
        <w:t>i</w:t>
      </w:r>
      <w:r w:rsidRPr="002C7C30">
        <w:rPr>
          <w:rFonts w:ascii="Times New Roman" w:eastAsia="Times New Roman" w:hAnsi="Times New Roman" w:cs="Times New Roman"/>
          <w:sz w:val="24"/>
          <w:szCs w:val="24"/>
          <w:lang w:eastAsia="it-IT"/>
        </w:rPr>
        <w:t xml:space="preserve">lizzati per liquidare una pensione. </w:t>
      </w:r>
    </w:p>
    <w:p w:rsidR="002C7C30" w:rsidRDefault="002C7C30" w:rsidP="002C7C30">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2C7C30">
        <w:rPr>
          <w:rFonts w:ascii="Times New Roman" w:eastAsia="Times New Roman" w:hAnsi="Times New Roman" w:cs="Times New Roman"/>
          <w:color w:val="000000"/>
          <w:sz w:val="24"/>
          <w:szCs w:val="24"/>
          <w:lang w:eastAsia="it-IT"/>
        </w:rPr>
        <w:t xml:space="preserve">La domanda di ricongiunzione va presentata dall'assicurato alla sede competente dell'istituto, ente, cassa, fondo o gestione previdenziale </w:t>
      </w:r>
      <w:r>
        <w:rPr>
          <w:rFonts w:ascii="Times New Roman" w:eastAsia="Times New Roman" w:hAnsi="Times New Roman" w:cs="Times New Roman"/>
          <w:color w:val="000000"/>
          <w:sz w:val="24"/>
          <w:szCs w:val="24"/>
          <w:lang w:eastAsia="it-IT"/>
        </w:rPr>
        <w:t>presso il quale si vuole</w:t>
      </w:r>
      <w:r w:rsidRPr="002C7C30">
        <w:rPr>
          <w:rFonts w:ascii="Times New Roman" w:eastAsia="Times New Roman" w:hAnsi="Times New Roman" w:cs="Times New Roman"/>
          <w:color w:val="000000"/>
          <w:sz w:val="24"/>
          <w:szCs w:val="24"/>
          <w:lang w:eastAsia="it-IT"/>
        </w:rPr>
        <w:t xml:space="preserve"> ricongiungere i diversi periodi contributivi. </w:t>
      </w:r>
    </w:p>
    <w:p w:rsidR="007F72B6" w:rsidRDefault="002C7C30" w:rsidP="002C7C30">
      <w:pPr>
        <w:shd w:val="clear" w:color="auto" w:fill="FFFFFF"/>
        <w:spacing w:after="0" w:line="240" w:lineRule="auto"/>
        <w:rPr>
          <w:rFonts w:ascii="Times New Roman" w:eastAsia="Times New Roman" w:hAnsi="Times New Roman" w:cs="Times New Roman"/>
          <w:color w:val="000000"/>
          <w:sz w:val="24"/>
          <w:szCs w:val="24"/>
          <w:lang w:eastAsia="it-IT"/>
        </w:rPr>
      </w:pPr>
      <w:r w:rsidRPr="002C7C30">
        <w:rPr>
          <w:rFonts w:ascii="Times New Roman" w:eastAsia="Times New Roman" w:hAnsi="Times New Roman" w:cs="Times New Roman"/>
          <w:color w:val="000000"/>
          <w:sz w:val="24"/>
          <w:szCs w:val="24"/>
          <w:lang w:eastAsia="it-IT"/>
        </w:rPr>
        <w:t xml:space="preserve">La facoltà di ricongiunzione normalmente </w:t>
      </w:r>
      <w:r w:rsidRPr="002C7C30">
        <w:rPr>
          <w:rFonts w:ascii="Times New Roman" w:eastAsia="Times New Roman" w:hAnsi="Times New Roman" w:cs="Times New Roman"/>
          <w:bCs/>
          <w:color w:val="000000"/>
          <w:sz w:val="24"/>
          <w:szCs w:val="24"/>
          <w:lang w:eastAsia="it-IT"/>
        </w:rPr>
        <w:t>può essere esercitata solo una volta.</w:t>
      </w:r>
    </w:p>
    <w:p w:rsidR="002C7C30" w:rsidRDefault="002C7C30" w:rsidP="0043534E">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2C7C30">
        <w:rPr>
          <w:rFonts w:ascii="Times New Roman" w:eastAsia="Times New Roman" w:hAnsi="Times New Roman" w:cs="Times New Roman"/>
          <w:color w:val="000000"/>
          <w:sz w:val="24"/>
          <w:szCs w:val="24"/>
          <w:lang w:eastAsia="it-IT"/>
        </w:rPr>
        <w:t xml:space="preserve">E' </w:t>
      </w:r>
      <w:r w:rsidR="007F72B6">
        <w:rPr>
          <w:rFonts w:ascii="Times New Roman" w:eastAsia="Times New Roman" w:hAnsi="Times New Roman" w:cs="Times New Roman"/>
          <w:color w:val="000000"/>
          <w:sz w:val="24"/>
          <w:szCs w:val="24"/>
          <w:lang w:eastAsia="it-IT"/>
        </w:rPr>
        <w:t>possibile inoltrare una seconda domanda</w:t>
      </w:r>
      <w:r w:rsidRPr="002C7C30">
        <w:rPr>
          <w:rFonts w:ascii="Times New Roman" w:eastAsia="Times New Roman" w:hAnsi="Times New Roman" w:cs="Times New Roman"/>
          <w:color w:val="000000"/>
          <w:sz w:val="24"/>
          <w:szCs w:val="24"/>
          <w:lang w:eastAsia="it-IT"/>
        </w:rPr>
        <w:t xml:space="preserve"> </w:t>
      </w:r>
      <w:r w:rsidR="007F72B6">
        <w:rPr>
          <w:rFonts w:ascii="Times New Roman" w:eastAsia="Times New Roman" w:hAnsi="Times New Roman" w:cs="Times New Roman"/>
          <w:color w:val="000000"/>
          <w:sz w:val="24"/>
          <w:szCs w:val="24"/>
          <w:lang w:eastAsia="it-IT"/>
        </w:rPr>
        <w:t>dopo</w:t>
      </w:r>
      <w:r w:rsidRPr="002C7C30">
        <w:rPr>
          <w:rFonts w:ascii="Times New Roman" w:eastAsia="Times New Roman" w:hAnsi="Times New Roman" w:cs="Times New Roman"/>
          <w:bCs/>
          <w:color w:val="000000"/>
          <w:sz w:val="24"/>
          <w:szCs w:val="24"/>
          <w:lang w:eastAsia="it-IT"/>
        </w:rPr>
        <w:t xml:space="preserve"> almeno 10 anni</w:t>
      </w:r>
      <w:r w:rsidRPr="002C7C30">
        <w:rPr>
          <w:rFonts w:ascii="Times New Roman" w:eastAsia="Times New Roman" w:hAnsi="Times New Roman" w:cs="Times New Roman"/>
          <w:color w:val="000000"/>
          <w:sz w:val="24"/>
          <w:szCs w:val="24"/>
          <w:lang w:eastAsia="it-IT"/>
        </w:rPr>
        <w:t xml:space="preserve"> di ulteriore contribuzione di cui almeno 5 di effettiva attività lavorativa, oppure al momento del pensionamento</w:t>
      </w:r>
      <w:r w:rsidR="007F72B6">
        <w:rPr>
          <w:rFonts w:ascii="Times New Roman" w:eastAsia="Times New Roman" w:hAnsi="Times New Roman" w:cs="Times New Roman"/>
          <w:color w:val="000000"/>
          <w:sz w:val="24"/>
          <w:szCs w:val="24"/>
          <w:lang w:eastAsia="it-IT"/>
        </w:rPr>
        <w:t xml:space="preserve"> (prima dell’inizio della pensione)</w:t>
      </w:r>
      <w:r w:rsidRPr="002C7C30">
        <w:rPr>
          <w:rFonts w:ascii="Times New Roman" w:eastAsia="Times New Roman" w:hAnsi="Times New Roman" w:cs="Times New Roman"/>
          <w:color w:val="000000"/>
          <w:sz w:val="24"/>
          <w:szCs w:val="24"/>
          <w:lang w:eastAsia="it-IT"/>
        </w:rPr>
        <w:t xml:space="preserve"> solo nella stessa gestione in cui è stata effettuata la prima ricongiunzione.</w:t>
      </w:r>
    </w:p>
    <w:p w:rsidR="0037587E" w:rsidRDefault="0037587E" w:rsidP="0043534E">
      <w:pPr>
        <w:shd w:val="clear" w:color="auto" w:fill="FFFFFF"/>
        <w:spacing w:after="0" w:line="240" w:lineRule="auto"/>
        <w:jc w:val="both"/>
        <w:rPr>
          <w:rFonts w:ascii="Times New Roman" w:eastAsia="Times New Roman" w:hAnsi="Times New Roman" w:cs="Times New Roman"/>
          <w:color w:val="000000"/>
          <w:sz w:val="24"/>
          <w:szCs w:val="24"/>
          <w:lang w:eastAsia="it-IT"/>
        </w:rPr>
      </w:pPr>
      <w:r w:rsidRPr="00E67AEB">
        <w:rPr>
          <w:rFonts w:ascii="Times New Roman" w:eastAsia="Times New Roman" w:hAnsi="Times New Roman" w:cs="Times New Roman"/>
          <w:color w:val="000000"/>
          <w:sz w:val="24"/>
          <w:szCs w:val="24"/>
          <w:lang w:eastAsia="it-IT"/>
        </w:rPr>
        <w:t xml:space="preserve">La gestione previdenziale presso cui si intende accentrare la posizione assicurativa chiede, </w:t>
      </w:r>
      <w:r w:rsidRPr="0043534E">
        <w:rPr>
          <w:rFonts w:ascii="Times New Roman" w:eastAsia="Times New Roman" w:hAnsi="Times New Roman" w:cs="Times New Roman"/>
          <w:bCs/>
          <w:color w:val="000000"/>
          <w:sz w:val="24"/>
          <w:szCs w:val="24"/>
          <w:lang w:eastAsia="it-IT"/>
        </w:rPr>
        <w:t>entro 60 giorni</w:t>
      </w:r>
      <w:r w:rsidRPr="0043534E">
        <w:rPr>
          <w:rFonts w:ascii="Times New Roman" w:eastAsia="Times New Roman" w:hAnsi="Times New Roman" w:cs="Times New Roman"/>
          <w:color w:val="000000"/>
          <w:sz w:val="24"/>
          <w:szCs w:val="24"/>
          <w:lang w:eastAsia="it-IT"/>
        </w:rPr>
        <w:t xml:space="preserve"> </w:t>
      </w:r>
      <w:r w:rsidRPr="00E67AEB">
        <w:rPr>
          <w:rFonts w:ascii="Times New Roman" w:eastAsia="Times New Roman" w:hAnsi="Times New Roman" w:cs="Times New Roman"/>
          <w:color w:val="000000"/>
          <w:sz w:val="24"/>
          <w:szCs w:val="24"/>
          <w:lang w:eastAsia="it-IT"/>
        </w:rPr>
        <w:t xml:space="preserve">dalla data della domanda di ricongiunzione, alla gestione o alle gestioni interessate tutti gli elementi necessari od utili per la costituzione della </w:t>
      </w:r>
      <w:r>
        <w:rPr>
          <w:rFonts w:ascii="Times New Roman" w:eastAsia="Times New Roman" w:hAnsi="Times New Roman" w:cs="Times New Roman"/>
          <w:color w:val="000000"/>
          <w:sz w:val="24"/>
          <w:szCs w:val="24"/>
          <w:lang w:eastAsia="it-IT"/>
        </w:rPr>
        <w:t xml:space="preserve">nuova </w:t>
      </w:r>
      <w:r w:rsidRPr="00E67AEB">
        <w:rPr>
          <w:rFonts w:ascii="Times New Roman" w:eastAsia="Times New Roman" w:hAnsi="Times New Roman" w:cs="Times New Roman"/>
          <w:color w:val="000000"/>
          <w:sz w:val="24"/>
          <w:szCs w:val="24"/>
          <w:lang w:eastAsia="it-IT"/>
        </w:rPr>
        <w:t>posizione assicurativa e la determinazione dell'onere di riscatto</w:t>
      </w:r>
      <w:r>
        <w:rPr>
          <w:rFonts w:ascii="Times New Roman" w:eastAsia="Times New Roman" w:hAnsi="Times New Roman" w:cs="Times New Roman"/>
          <w:color w:val="000000"/>
          <w:sz w:val="24"/>
          <w:szCs w:val="24"/>
          <w:lang w:eastAsia="it-IT"/>
        </w:rPr>
        <w:t xml:space="preserve"> che vanno comunicati entro 90 giorni.</w:t>
      </w:r>
    </w:p>
    <w:p w:rsidR="0037587E" w:rsidRDefault="0037587E" w:rsidP="0043534E">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 xml:space="preserve">Entro 180 giorni dall’inoltro della domanda </w:t>
      </w:r>
      <w:r w:rsidR="0043534E">
        <w:rPr>
          <w:rFonts w:ascii="Times New Roman" w:eastAsia="Times New Roman" w:hAnsi="Times New Roman" w:cs="Times New Roman"/>
          <w:color w:val="000000"/>
          <w:sz w:val="24"/>
          <w:szCs w:val="24"/>
          <w:lang w:eastAsia="it-IT"/>
        </w:rPr>
        <w:t>la gestione cui si accentra la ricongiunzione deve comunicare il costo della ricongiunzione e la possibile rateizzazione. Entro i successivi 60 giorni l’interessato deve comunicare l’accettazione e il piano di ammortamento (rateizzazione), oltre tale termine si intende revocata la domanda.</w:t>
      </w:r>
    </w:p>
    <w:p w:rsidR="0043534E" w:rsidRDefault="0043534E" w:rsidP="0043534E">
      <w:pPr>
        <w:shd w:val="clear" w:color="auto" w:fill="FFFFFF"/>
        <w:spacing w:after="0" w:line="240" w:lineRule="auto"/>
        <w:jc w:val="both"/>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lastRenderedPageBreak/>
        <w:t xml:space="preserve">Il versamento anche parziale  determina  la irrevocabilità della domanda. </w:t>
      </w:r>
    </w:p>
    <w:p w:rsidR="00B409D8" w:rsidRDefault="0043534E" w:rsidP="00B409D8">
      <w:pPr>
        <w:autoSpaceDE w:val="0"/>
        <w:autoSpaceDN w:val="0"/>
        <w:adjustRightInd w:val="0"/>
        <w:spacing w:after="0" w:line="240" w:lineRule="auto"/>
        <w:jc w:val="both"/>
        <w:rPr>
          <w:rFonts w:ascii="Times New Roman" w:hAnsi="Times New Roman" w:cs="Times New Roman"/>
          <w:sz w:val="24"/>
          <w:szCs w:val="24"/>
        </w:rPr>
      </w:pPr>
      <w:r w:rsidRPr="0043534E">
        <w:rPr>
          <w:rFonts w:ascii="Times New Roman" w:hAnsi="Times New Roman" w:cs="Times New Roman"/>
          <w:sz w:val="24"/>
          <w:szCs w:val="24"/>
        </w:rPr>
        <w:t xml:space="preserve">La legge </w:t>
      </w:r>
      <w:r>
        <w:rPr>
          <w:rFonts w:ascii="Times New Roman" w:hAnsi="Times New Roman" w:cs="Times New Roman"/>
          <w:sz w:val="24"/>
          <w:szCs w:val="24"/>
        </w:rPr>
        <w:t>45 del 1990 amplia la possibilità della ricongiunzione anche ai liberi professionisti</w:t>
      </w:r>
      <w:r w:rsidR="00CD657F">
        <w:rPr>
          <w:rFonts w:ascii="Times New Roman" w:hAnsi="Times New Roman" w:cs="Times New Roman"/>
          <w:sz w:val="24"/>
          <w:szCs w:val="24"/>
        </w:rPr>
        <w:t xml:space="preserve"> ed in particolare </w:t>
      </w:r>
      <w:r w:rsidR="00FE5775">
        <w:rPr>
          <w:rFonts w:ascii="Times New Roman" w:hAnsi="Times New Roman" w:cs="Times New Roman"/>
          <w:sz w:val="24"/>
          <w:szCs w:val="24"/>
        </w:rPr>
        <w:t xml:space="preserve">da </w:t>
      </w:r>
      <w:r w:rsidR="00CD657F">
        <w:rPr>
          <w:rFonts w:ascii="Times New Roman" w:hAnsi="Times New Roman" w:cs="Times New Roman"/>
          <w:sz w:val="24"/>
          <w:szCs w:val="24"/>
        </w:rPr>
        <w:t xml:space="preserve">la possibilità ai medici di ricongiungere periodi di attività in rapporto di dipendenza (ospedalieri) </w:t>
      </w:r>
      <w:r w:rsidR="00561DD3">
        <w:rPr>
          <w:rFonts w:ascii="Times New Roman" w:hAnsi="Times New Roman" w:cs="Times New Roman"/>
          <w:sz w:val="24"/>
          <w:szCs w:val="24"/>
        </w:rPr>
        <w:t>all’</w:t>
      </w:r>
      <w:r w:rsidR="00CD657F">
        <w:rPr>
          <w:rFonts w:ascii="Times New Roman" w:hAnsi="Times New Roman" w:cs="Times New Roman"/>
          <w:sz w:val="24"/>
          <w:szCs w:val="24"/>
        </w:rPr>
        <w:t>ENPAM.</w:t>
      </w:r>
    </w:p>
    <w:p w:rsidR="00FE5775" w:rsidRDefault="00FE5775" w:rsidP="00B409D8">
      <w:pPr>
        <w:autoSpaceDE w:val="0"/>
        <w:autoSpaceDN w:val="0"/>
        <w:adjustRightInd w:val="0"/>
        <w:spacing w:after="0" w:line="240" w:lineRule="auto"/>
        <w:jc w:val="both"/>
        <w:rPr>
          <w:rFonts w:ascii="Times New Roman" w:hAnsi="Times New Roman" w:cs="Times New Roman"/>
          <w:sz w:val="24"/>
          <w:szCs w:val="24"/>
        </w:rPr>
      </w:pPr>
    </w:p>
    <w:p w:rsidR="00A013C3" w:rsidRDefault="00A013C3" w:rsidP="00A013C3">
      <w:pPr>
        <w:autoSpaceDE w:val="0"/>
        <w:autoSpaceDN w:val="0"/>
        <w:adjustRightInd w:val="0"/>
        <w:spacing w:after="0" w:line="240" w:lineRule="auto"/>
        <w:rPr>
          <w:rFonts w:ascii="Times New Roman" w:hAnsi="Times New Roman" w:cs="Times New Roman"/>
          <w:sz w:val="24"/>
          <w:szCs w:val="24"/>
        </w:rPr>
      </w:pPr>
    </w:p>
    <w:p w:rsidR="00A013C3"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rPr>
          <w:rFonts w:ascii="Times New Roman" w:hAnsi="Times New Roman" w:cs="Times New Roman"/>
          <w:b/>
          <w:sz w:val="24"/>
          <w:szCs w:val="24"/>
        </w:rPr>
      </w:pPr>
    </w:p>
    <w:p w:rsidR="00A013C3" w:rsidRPr="00542CBC"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jc w:val="both"/>
        <w:rPr>
          <w:rFonts w:ascii="Times New Roman" w:hAnsi="Times New Roman" w:cs="Times New Roman"/>
          <w:b/>
          <w:sz w:val="20"/>
          <w:szCs w:val="20"/>
        </w:rPr>
      </w:pPr>
      <w:r w:rsidRPr="00542CBC">
        <w:rPr>
          <w:rFonts w:ascii="Times New Roman" w:hAnsi="Times New Roman" w:cs="Times New Roman"/>
          <w:b/>
          <w:sz w:val="20"/>
          <w:szCs w:val="20"/>
        </w:rPr>
        <w:t>ONERI DELLA RICONGIUNZIONE</w:t>
      </w:r>
    </w:p>
    <w:p w:rsidR="00A013C3" w:rsidRPr="00542CBC"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jc w:val="both"/>
        <w:rPr>
          <w:rFonts w:ascii="Times New Roman" w:hAnsi="Times New Roman" w:cs="Times New Roman"/>
          <w:sz w:val="20"/>
          <w:szCs w:val="20"/>
        </w:rPr>
      </w:pPr>
      <w:r w:rsidRPr="00542CBC">
        <w:rPr>
          <w:rFonts w:ascii="Times New Roman" w:hAnsi="Times New Roman" w:cs="Times New Roman"/>
          <w:sz w:val="20"/>
          <w:szCs w:val="20"/>
        </w:rPr>
        <w:t xml:space="preserve">Colla ricongiunzione va garantita la </w:t>
      </w:r>
      <w:r w:rsidRPr="00542CBC">
        <w:rPr>
          <w:rFonts w:ascii="Times New Roman" w:hAnsi="Times New Roman" w:cs="Times New Roman"/>
          <w:b/>
          <w:sz w:val="20"/>
          <w:szCs w:val="20"/>
        </w:rPr>
        <w:t>riserva matematica</w:t>
      </w:r>
      <w:r w:rsidRPr="00542CBC">
        <w:rPr>
          <w:rFonts w:ascii="Times New Roman" w:hAnsi="Times New Roman" w:cs="Times New Roman"/>
          <w:sz w:val="20"/>
          <w:szCs w:val="20"/>
        </w:rPr>
        <w:t>, determinata sulla quota di pensione corrispondente al periodo ricongiunto per garantire le future prestazioni.</w:t>
      </w:r>
    </w:p>
    <w:p w:rsidR="00A013C3"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jc w:val="both"/>
        <w:rPr>
          <w:rFonts w:ascii="Times New Roman" w:hAnsi="Times New Roman" w:cs="Times New Roman"/>
          <w:sz w:val="20"/>
          <w:szCs w:val="20"/>
        </w:rPr>
      </w:pPr>
      <w:r w:rsidRPr="00542CBC">
        <w:rPr>
          <w:rFonts w:ascii="Times New Roman" w:hAnsi="Times New Roman" w:cs="Times New Roman"/>
          <w:sz w:val="20"/>
          <w:szCs w:val="20"/>
        </w:rPr>
        <w:t xml:space="preserve">Per i periodi calcolati col sistema retributivo il calcolo della riserva matematica viene effettuato in base alla tabelle del D.M. 31.08.2007, mentre per i periodi calcolati col sistema contributivo l’onere viene determinato in base alla retribuzione di riferimento (gli ultimi 12 mesi riferiti alla data di inoltro della domanda di ricongiunzione) e alla aliquota contributiva vigente alla data della domanda. </w:t>
      </w:r>
    </w:p>
    <w:p w:rsidR="00A013C3" w:rsidRPr="00542CBC"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jc w:val="both"/>
        <w:rPr>
          <w:rFonts w:ascii="Times New Roman" w:hAnsi="Times New Roman" w:cs="Times New Roman"/>
          <w:sz w:val="20"/>
          <w:szCs w:val="20"/>
        </w:rPr>
      </w:pPr>
      <w:r w:rsidRPr="00542CBC">
        <w:rPr>
          <w:rFonts w:ascii="Times New Roman" w:hAnsi="Times New Roman" w:cs="Times New Roman"/>
          <w:sz w:val="20"/>
          <w:szCs w:val="20"/>
        </w:rPr>
        <w:t>Ovviamente vengono scalati i contributi già versati durante il periodo di attività lavorativa oggetto di ricongiunzione.</w:t>
      </w:r>
    </w:p>
    <w:p w:rsidR="00A013C3" w:rsidRPr="00542CBC"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jc w:val="both"/>
        <w:rPr>
          <w:rFonts w:ascii="Times New Roman" w:hAnsi="Times New Roman" w:cs="Times New Roman"/>
          <w:sz w:val="20"/>
          <w:szCs w:val="20"/>
        </w:rPr>
      </w:pPr>
      <w:r w:rsidRPr="00542CBC">
        <w:rPr>
          <w:rFonts w:ascii="Times New Roman" w:hAnsi="Times New Roman" w:cs="Times New Roman"/>
          <w:sz w:val="20"/>
          <w:szCs w:val="20"/>
        </w:rPr>
        <w:t>L’onere può essere rateizzato ed è deducibile ai fini fiscali.</w:t>
      </w:r>
    </w:p>
    <w:p w:rsidR="00A013C3" w:rsidRDefault="00A013C3" w:rsidP="00A013C3">
      <w:pPr>
        <w:pBdr>
          <w:top w:val="double" w:sz="4" w:space="1" w:color="auto"/>
          <w:left w:val="double" w:sz="4" w:space="4" w:color="auto"/>
          <w:bottom w:val="double" w:sz="4" w:space="1" w:color="auto"/>
          <w:right w:val="double" w:sz="4" w:space="4" w:color="auto"/>
        </w:pBdr>
        <w:autoSpaceDE w:val="0"/>
        <w:autoSpaceDN w:val="0"/>
        <w:adjustRightInd w:val="0"/>
        <w:spacing w:after="0" w:line="240" w:lineRule="auto"/>
        <w:ind w:left="1416"/>
        <w:rPr>
          <w:rFonts w:ascii="Times New Roman" w:hAnsi="Times New Roman" w:cs="Times New Roman"/>
          <w:sz w:val="24"/>
          <w:szCs w:val="24"/>
        </w:rPr>
      </w:pPr>
    </w:p>
    <w:p w:rsidR="00A013C3" w:rsidRDefault="00A013C3" w:rsidP="00A013C3">
      <w:pPr>
        <w:autoSpaceDE w:val="0"/>
        <w:autoSpaceDN w:val="0"/>
        <w:adjustRightInd w:val="0"/>
        <w:spacing w:after="0" w:line="240" w:lineRule="auto"/>
        <w:jc w:val="both"/>
        <w:rPr>
          <w:rFonts w:ascii="Times New Roman" w:hAnsi="Times New Roman" w:cs="Times New Roman"/>
          <w:sz w:val="24"/>
          <w:szCs w:val="24"/>
        </w:rPr>
      </w:pPr>
    </w:p>
    <w:p w:rsidR="00A013C3" w:rsidRDefault="00A013C3" w:rsidP="00A013C3">
      <w:pPr>
        <w:autoSpaceDE w:val="0"/>
        <w:autoSpaceDN w:val="0"/>
        <w:adjustRightInd w:val="0"/>
        <w:spacing w:after="0" w:line="240" w:lineRule="auto"/>
        <w:jc w:val="center"/>
        <w:rPr>
          <w:rFonts w:ascii="Times New Roman" w:hAnsi="Times New Roman" w:cs="Times New Roman"/>
          <w:sz w:val="24"/>
          <w:szCs w:val="24"/>
        </w:rPr>
      </w:pPr>
    </w:p>
    <w:p w:rsidR="00EE79D4" w:rsidRPr="00EE79D4" w:rsidRDefault="00EE79D4" w:rsidP="00EE79D4">
      <w:pPr>
        <w:spacing w:after="0" w:line="240" w:lineRule="auto"/>
        <w:rPr>
          <w:rFonts w:ascii="Times New Roman" w:hAnsi="Times New Roman" w:cs="Times New Roman"/>
          <w:b/>
          <w:sz w:val="24"/>
          <w:szCs w:val="24"/>
        </w:rPr>
      </w:pPr>
      <w:r>
        <w:rPr>
          <w:rFonts w:ascii="Times New Roman" w:hAnsi="Times New Roman" w:cs="Times New Roman"/>
          <w:b/>
          <w:sz w:val="24"/>
          <w:szCs w:val="24"/>
        </w:rPr>
        <w:t>L</w:t>
      </w:r>
      <w:r w:rsidRPr="00EE79D4">
        <w:rPr>
          <w:rFonts w:ascii="Times New Roman" w:hAnsi="Times New Roman" w:cs="Times New Roman"/>
          <w:b/>
          <w:sz w:val="24"/>
          <w:szCs w:val="24"/>
        </w:rPr>
        <w:t xml:space="preserve">a ricongiunzione </w:t>
      </w:r>
      <w:r>
        <w:rPr>
          <w:rFonts w:ascii="Times New Roman" w:hAnsi="Times New Roman" w:cs="Times New Roman"/>
          <w:b/>
          <w:sz w:val="24"/>
          <w:szCs w:val="24"/>
        </w:rPr>
        <w:t>all’ENPAM</w:t>
      </w:r>
      <w:r w:rsidR="006A64E5">
        <w:rPr>
          <w:rFonts w:ascii="Times New Roman" w:hAnsi="Times New Roman" w:cs="Times New Roman"/>
          <w:b/>
          <w:sz w:val="24"/>
          <w:szCs w:val="24"/>
        </w:rPr>
        <w:t xml:space="preserve">-Fondo Generale </w:t>
      </w:r>
      <w:r w:rsidRPr="00EE79D4">
        <w:rPr>
          <w:rFonts w:ascii="Times New Roman" w:hAnsi="Times New Roman" w:cs="Times New Roman"/>
          <w:b/>
          <w:sz w:val="24"/>
          <w:szCs w:val="24"/>
        </w:rPr>
        <w:t xml:space="preserve">di contributi presso altre </w:t>
      </w:r>
      <w:r w:rsidR="009F0787">
        <w:rPr>
          <w:rFonts w:ascii="Times New Roman" w:hAnsi="Times New Roman" w:cs="Times New Roman"/>
          <w:b/>
          <w:sz w:val="24"/>
          <w:szCs w:val="24"/>
        </w:rPr>
        <w:t>C</w:t>
      </w:r>
      <w:r w:rsidRPr="00EE79D4">
        <w:rPr>
          <w:rFonts w:ascii="Times New Roman" w:hAnsi="Times New Roman" w:cs="Times New Roman"/>
          <w:b/>
          <w:sz w:val="24"/>
          <w:szCs w:val="24"/>
        </w:rPr>
        <w:t>asse previdenziali</w:t>
      </w:r>
    </w:p>
    <w:p w:rsidR="00EE79D4" w:rsidRPr="00EE79D4" w:rsidRDefault="00EE79D4" w:rsidP="00EE79D4">
      <w:pPr>
        <w:spacing w:after="0" w:line="240" w:lineRule="auto"/>
        <w:jc w:val="both"/>
        <w:rPr>
          <w:rFonts w:ascii="Times New Roman" w:hAnsi="Times New Roman" w:cs="Times New Roman"/>
          <w:sz w:val="24"/>
          <w:szCs w:val="24"/>
        </w:rPr>
      </w:pPr>
      <w:r w:rsidRPr="00EE79D4">
        <w:rPr>
          <w:rFonts w:ascii="Times New Roman" w:hAnsi="Times New Roman" w:cs="Times New Roman"/>
          <w:sz w:val="24"/>
          <w:szCs w:val="24"/>
        </w:rPr>
        <w:t>In base alla legge 45/90, che opera solo nei riguardi della Quota “A”</w:t>
      </w:r>
      <w:r w:rsidR="00977B16">
        <w:rPr>
          <w:rFonts w:ascii="Times New Roman" w:hAnsi="Times New Roman" w:cs="Times New Roman"/>
          <w:sz w:val="24"/>
          <w:szCs w:val="24"/>
        </w:rPr>
        <w:t>e non nella Quota “B”</w:t>
      </w:r>
      <w:r w:rsidRPr="00EE79D4">
        <w:rPr>
          <w:rFonts w:ascii="Times New Roman" w:hAnsi="Times New Roman" w:cs="Times New Roman"/>
          <w:sz w:val="24"/>
          <w:szCs w:val="24"/>
        </w:rPr>
        <w:t>, si possono ricongiungere al Fondo generale i periodi di contribuzione esistenti presso altre gestioni previdenziali obbligatorie.</w:t>
      </w:r>
    </w:p>
    <w:p w:rsidR="00EE79D4" w:rsidRPr="00EE79D4" w:rsidRDefault="00EE79D4" w:rsidP="00EE79D4">
      <w:pPr>
        <w:spacing w:after="0" w:line="240" w:lineRule="auto"/>
        <w:jc w:val="both"/>
        <w:rPr>
          <w:rFonts w:ascii="Times New Roman" w:hAnsi="Times New Roman" w:cs="Times New Roman"/>
          <w:sz w:val="24"/>
          <w:szCs w:val="24"/>
        </w:rPr>
      </w:pPr>
      <w:r w:rsidRPr="00EE79D4">
        <w:rPr>
          <w:rFonts w:ascii="Times New Roman" w:hAnsi="Times New Roman" w:cs="Times New Roman"/>
          <w:sz w:val="24"/>
          <w:szCs w:val="24"/>
        </w:rPr>
        <w:t>I periodi ricongiunti antecedenti l’iscrizione al Fondo generale sono utili sia agli effetti dell’aumento dell’anzianità contributiva, sia del computo del compenso medio annuo preso a base per il calcolo della pensione.</w:t>
      </w:r>
    </w:p>
    <w:p w:rsidR="00EE79D4" w:rsidRPr="00EE79D4" w:rsidRDefault="00EE79D4" w:rsidP="00EE79D4">
      <w:pPr>
        <w:spacing w:after="0" w:line="240" w:lineRule="auto"/>
        <w:jc w:val="both"/>
        <w:rPr>
          <w:rFonts w:ascii="Times New Roman" w:hAnsi="Times New Roman" w:cs="Times New Roman"/>
          <w:sz w:val="24"/>
          <w:szCs w:val="24"/>
        </w:rPr>
      </w:pPr>
      <w:r w:rsidRPr="00EE79D4">
        <w:rPr>
          <w:rFonts w:ascii="Times New Roman" w:hAnsi="Times New Roman" w:cs="Times New Roman"/>
          <w:sz w:val="24"/>
          <w:szCs w:val="24"/>
        </w:rPr>
        <w:t>Al contrario, i periodi ricongiunti coincidenti con l’iscrizione e la contribuzione al Fondo sono utili solo agli effetti della determinazione del compenso medio annuo preso a base per il calcolo del trattamento di pensione (ai fini del calcolo del compenso annuo medio relativamente ai periodi ricongiunti riferiti ad attività non effettiva, con eccezione dei periodi riscattati per il corso di laurea o di specializzazione, nonché ai periodi relativi a contribuzione in misura fissa si assume quale compenso il decuplo dei contributi trasferiti).</w:t>
      </w:r>
    </w:p>
    <w:p w:rsidR="00EE79D4" w:rsidRPr="00EE79D4" w:rsidRDefault="00EE79D4" w:rsidP="00EE79D4">
      <w:pPr>
        <w:spacing w:after="0" w:line="240" w:lineRule="auto"/>
        <w:jc w:val="both"/>
        <w:rPr>
          <w:rFonts w:ascii="Times New Roman" w:hAnsi="Times New Roman" w:cs="Times New Roman"/>
          <w:sz w:val="24"/>
          <w:szCs w:val="24"/>
        </w:rPr>
      </w:pPr>
      <w:r w:rsidRPr="00EE79D4">
        <w:rPr>
          <w:rFonts w:ascii="Times New Roman" w:hAnsi="Times New Roman" w:cs="Times New Roman"/>
          <w:sz w:val="24"/>
          <w:szCs w:val="24"/>
        </w:rPr>
        <w:t xml:space="preserve">Gli anni riscattati presso altre gestioni previdenziali relativi al corso legale di laurea e di specialità, se ricongiunti, sono utili agli effetti  dell’aumento dell’anzianità contributiva e della maggior misura della pensione.  </w:t>
      </w:r>
    </w:p>
    <w:p w:rsidR="00EE79D4" w:rsidRPr="00EE79D4" w:rsidRDefault="00EE79D4" w:rsidP="00EE79D4">
      <w:pPr>
        <w:spacing w:after="0" w:line="240" w:lineRule="auto"/>
        <w:jc w:val="both"/>
        <w:rPr>
          <w:rFonts w:ascii="Times New Roman" w:hAnsi="Times New Roman" w:cs="Times New Roman"/>
          <w:sz w:val="24"/>
          <w:szCs w:val="24"/>
        </w:rPr>
      </w:pPr>
      <w:r w:rsidRPr="00EE79D4">
        <w:rPr>
          <w:rFonts w:ascii="Times New Roman" w:hAnsi="Times New Roman" w:cs="Times New Roman"/>
          <w:sz w:val="24"/>
          <w:szCs w:val="24"/>
        </w:rPr>
        <w:t>I medici  iscritti al Fondo con un'anzianità contributiva continuativa di almeno 10 anni, al compimento dell’età pensionabile pro tempore vigente (67 anni nel 2016) possono chiedere la ricongiunzione dei periodi contributivi esistenti presso altre gestioni previdenziali obbligatorie, inefficaci per il diritto a pensione (in base alla sentenza 61/99 della Corte costituzionale e al Decreto legislativo sulla totalizzazione po</w:t>
      </w:r>
      <w:r w:rsidR="00FE5775">
        <w:rPr>
          <w:rFonts w:ascii="Times New Roman" w:hAnsi="Times New Roman" w:cs="Times New Roman"/>
          <w:sz w:val="24"/>
          <w:szCs w:val="24"/>
        </w:rPr>
        <w:t>ssono</w:t>
      </w:r>
      <w:r w:rsidRPr="00EE79D4">
        <w:rPr>
          <w:rFonts w:ascii="Times New Roman" w:hAnsi="Times New Roman" w:cs="Times New Roman"/>
          <w:sz w:val="24"/>
          <w:szCs w:val="24"/>
        </w:rPr>
        <w:t xml:space="preserve"> servire per una totalizzazione dei contributi inefficaci da soli per un trattamento di pensione, ma utili per un trattamento economico in base al maturato in ciascun ente</w:t>
      </w:r>
      <w:r w:rsidR="004D345F">
        <w:rPr>
          <w:rFonts w:ascii="Times New Roman" w:hAnsi="Times New Roman" w:cs="Times New Roman"/>
          <w:sz w:val="24"/>
          <w:szCs w:val="24"/>
        </w:rPr>
        <w:t>)</w:t>
      </w:r>
      <w:r w:rsidRPr="00EE79D4">
        <w:rPr>
          <w:rFonts w:ascii="Times New Roman" w:hAnsi="Times New Roman" w:cs="Times New Roman"/>
          <w:sz w:val="24"/>
          <w:szCs w:val="24"/>
        </w:rPr>
        <w:t>.</w:t>
      </w:r>
    </w:p>
    <w:sectPr w:rsidR="00EE79D4" w:rsidRPr="00EE79D4" w:rsidSect="001C3C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409D8"/>
    <w:rsid w:val="00002A9E"/>
    <w:rsid w:val="0006314B"/>
    <w:rsid w:val="001C3C6B"/>
    <w:rsid w:val="002C7C30"/>
    <w:rsid w:val="002F6782"/>
    <w:rsid w:val="003137DE"/>
    <w:rsid w:val="0037587E"/>
    <w:rsid w:val="0043534E"/>
    <w:rsid w:val="004512E3"/>
    <w:rsid w:val="004D345F"/>
    <w:rsid w:val="00542CBC"/>
    <w:rsid w:val="00561DD3"/>
    <w:rsid w:val="00600970"/>
    <w:rsid w:val="006A46B5"/>
    <w:rsid w:val="006A64E5"/>
    <w:rsid w:val="007C08BB"/>
    <w:rsid w:val="007D4E2E"/>
    <w:rsid w:val="007F72B6"/>
    <w:rsid w:val="00852C04"/>
    <w:rsid w:val="008A41D7"/>
    <w:rsid w:val="008B00C7"/>
    <w:rsid w:val="00977B16"/>
    <w:rsid w:val="009B2FD8"/>
    <w:rsid w:val="009F0787"/>
    <w:rsid w:val="00A013C3"/>
    <w:rsid w:val="00A8429B"/>
    <w:rsid w:val="00AD23B2"/>
    <w:rsid w:val="00B409D8"/>
    <w:rsid w:val="00BD7C12"/>
    <w:rsid w:val="00C950E4"/>
    <w:rsid w:val="00CD657F"/>
    <w:rsid w:val="00D151C9"/>
    <w:rsid w:val="00EE14C4"/>
    <w:rsid w:val="00EE79D4"/>
    <w:rsid w:val="00F9428C"/>
    <w:rsid w:val="00FE57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C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C08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08BB"/>
    <w:rPr>
      <w:rFonts w:ascii="Tahoma" w:hAnsi="Tahoma" w:cs="Tahoma"/>
      <w:sz w:val="16"/>
      <w:szCs w:val="16"/>
    </w:rPr>
  </w:style>
  <w:style w:type="table" w:styleId="Grigliatabella">
    <w:name w:val="Table Grid"/>
    <w:basedOn w:val="Tabellanormale"/>
    <w:uiPriority w:val="59"/>
    <w:rsid w:val="007C08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EE14C4"/>
    <w:rPr>
      <w:b/>
      <w:bCs/>
    </w:rPr>
  </w:style>
</w:styles>
</file>

<file path=word/webSettings.xml><?xml version="1.0" encoding="utf-8"?>
<w:webSettings xmlns:r="http://schemas.openxmlformats.org/officeDocument/2006/relationships" xmlns:w="http://schemas.openxmlformats.org/wordprocessingml/2006/main">
  <w:divs>
    <w:div w:id="509418222">
      <w:bodyDiv w:val="1"/>
      <w:marLeft w:val="0"/>
      <w:marRight w:val="0"/>
      <w:marTop w:val="0"/>
      <w:marBottom w:val="0"/>
      <w:divBdr>
        <w:top w:val="none" w:sz="0" w:space="0" w:color="auto"/>
        <w:left w:val="none" w:sz="0" w:space="0" w:color="auto"/>
        <w:bottom w:val="none" w:sz="0" w:space="0" w:color="auto"/>
        <w:right w:val="none" w:sz="0" w:space="0" w:color="auto"/>
      </w:divBdr>
      <w:divsChild>
        <w:div w:id="1305966024">
          <w:marLeft w:val="0"/>
          <w:marRight w:val="0"/>
          <w:marTop w:val="0"/>
          <w:marBottom w:val="0"/>
          <w:divBdr>
            <w:top w:val="none" w:sz="0" w:space="0" w:color="auto"/>
            <w:left w:val="none" w:sz="0" w:space="0" w:color="auto"/>
            <w:bottom w:val="none" w:sz="0" w:space="0" w:color="auto"/>
            <w:right w:val="none" w:sz="0" w:space="0" w:color="auto"/>
          </w:divBdr>
          <w:divsChild>
            <w:div w:id="518279002">
              <w:marLeft w:val="0"/>
              <w:marRight w:val="0"/>
              <w:marTop w:val="0"/>
              <w:marBottom w:val="0"/>
              <w:divBdr>
                <w:top w:val="none" w:sz="0" w:space="0" w:color="auto"/>
                <w:left w:val="none" w:sz="0" w:space="0" w:color="auto"/>
                <w:bottom w:val="none" w:sz="0" w:space="0" w:color="auto"/>
                <w:right w:val="none" w:sz="0" w:space="0" w:color="auto"/>
              </w:divBdr>
              <w:divsChild>
                <w:div w:id="4274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A9B3CB-C8BD-4283-816A-1352AE8C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940</Words>
  <Characters>5360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19</cp:revision>
  <cp:lastPrinted>2016-01-05T21:36:00Z</cp:lastPrinted>
  <dcterms:created xsi:type="dcterms:W3CDTF">2016-01-04T16:45:00Z</dcterms:created>
  <dcterms:modified xsi:type="dcterms:W3CDTF">2016-01-05T21:36:00Z</dcterms:modified>
</cp:coreProperties>
</file>